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53" w:rsidRPr="00B665A5" w:rsidRDefault="005E1553" w:rsidP="005E1553">
      <w:pPr>
        <w:rPr>
          <w:rFonts w:ascii="Times New Roman" w:hAnsi="Times New Roman"/>
          <w:b/>
          <w:bCs/>
        </w:rPr>
      </w:pPr>
      <w:r w:rsidRPr="00B665A5">
        <w:rPr>
          <w:rFonts w:ascii="Times New Roman" w:hAnsi="Times New Roman"/>
          <w:b/>
          <w:bCs/>
        </w:rPr>
        <w:t>КАК СЧИТАЛСЯ РЕЙТИНГ</w:t>
      </w:r>
    </w:p>
    <w:p w:rsidR="00B665A5" w:rsidRPr="00B665A5" w:rsidRDefault="005E1553" w:rsidP="00B665A5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AdIndex оценивает бюджеты на продвижение в тех каналах, где есть независимый мониторинг рекламных выходов – на ТВ, в прессе, на радио, в наружной рекламе и в интернете. </w:t>
      </w:r>
      <w:r w:rsidR="00B665A5" w:rsidRPr="00E6009C">
        <w:rPr>
          <w:rFonts w:ascii="Times New Roman" w:hAnsi="Times New Roman"/>
        </w:rPr>
        <w:t xml:space="preserve">Данные мониторинга переводились в бюджеты </w:t>
      </w:r>
      <w:proofErr w:type="gramStart"/>
      <w:r w:rsidR="00B665A5" w:rsidRPr="00E6009C">
        <w:rPr>
          <w:rFonts w:ascii="Times New Roman" w:hAnsi="Times New Roman"/>
        </w:rPr>
        <w:t>с  использованием</w:t>
      </w:r>
      <w:proofErr w:type="gramEnd"/>
      <w:r w:rsidR="00B665A5" w:rsidRPr="00E6009C">
        <w:rPr>
          <w:rFonts w:ascii="Times New Roman" w:hAnsi="Times New Roman"/>
        </w:rPr>
        <w:t xml:space="preserve"> агентской экспертизы. Условия, по которым рекламодатели закупали рекламу в 201</w:t>
      </w:r>
      <w:r w:rsidR="00B665A5">
        <w:rPr>
          <w:rFonts w:ascii="Times New Roman" w:hAnsi="Times New Roman"/>
        </w:rPr>
        <w:t>9</w:t>
      </w:r>
      <w:r w:rsidR="00B665A5" w:rsidRPr="00E6009C">
        <w:rPr>
          <w:rFonts w:ascii="Times New Roman" w:hAnsi="Times New Roman"/>
        </w:rPr>
        <w:t xml:space="preserve"> году, AdIndex озвучили </w:t>
      </w:r>
      <w:r w:rsidR="00B665A5" w:rsidRPr="009D4062">
        <w:rPr>
          <w:rFonts w:ascii="Times New Roman" w:hAnsi="Times New Roman"/>
          <w:b/>
          <w:bCs/>
        </w:rPr>
        <w:t>все</w:t>
      </w:r>
      <w:r w:rsidR="00B665A5">
        <w:rPr>
          <w:rFonts w:ascii="Times New Roman" w:hAnsi="Times New Roman"/>
        </w:rPr>
        <w:t xml:space="preserve"> крупнейшие рекламно-коммуникационные </w:t>
      </w:r>
      <w:r w:rsidR="00B665A5" w:rsidRPr="00E6009C">
        <w:rPr>
          <w:rFonts w:ascii="Times New Roman" w:hAnsi="Times New Roman"/>
        </w:rPr>
        <w:t>холдинги</w:t>
      </w:r>
      <w:r w:rsidR="00B665A5">
        <w:rPr>
          <w:rFonts w:ascii="Times New Roman" w:hAnsi="Times New Roman"/>
        </w:rPr>
        <w:t>:</w:t>
      </w:r>
      <w:r w:rsidR="00B665A5" w:rsidRPr="00E6009C">
        <w:rPr>
          <w:rFonts w:ascii="Times New Roman" w:hAnsi="Times New Roman"/>
        </w:rPr>
        <w:t xml:space="preserve"> </w:t>
      </w:r>
      <w:proofErr w:type="spellStart"/>
      <w:r w:rsidR="00B665A5" w:rsidRPr="00E6009C">
        <w:rPr>
          <w:rFonts w:ascii="Times New Roman" w:hAnsi="Times New Roman"/>
        </w:rPr>
        <w:t>Dentsu</w:t>
      </w:r>
      <w:proofErr w:type="spellEnd"/>
      <w:r w:rsidR="00B665A5" w:rsidRPr="00E6009C">
        <w:rPr>
          <w:rFonts w:ascii="Times New Roman" w:hAnsi="Times New Roman"/>
        </w:rPr>
        <w:t xml:space="preserve"> </w:t>
      </w:r>
      <w:proofErr w:type="spellStart"/>
      <w:r w:rsidR="00B665A5" w:rsidRPr="00E6009C">
        <w:rPr>
          <w:rFonts w:ascii="Times New Roman" w:hAnsi="Times New Roman"/>
        </w:rPr>
        <w:t>Aegis</w:t>
      </w:r>
      <w:proofErr w:type="spellEnd"/>
      <w:r w:rsidR="00B665A5" w:rsidRPr="00E6009C">
        <w:rPr>
          <w:rFonts w:ascii="Times New Roman" w:hAnsi="Times New Roman"/>
        </w:rPr>
        <w:t xml:space="preserve"> </w:t>
      </w:r>
      <w:proofErr w:type="spellStart"/>
      <w:r w:rsidR="00B665A5" w:rsidRPr="00E6009C">
        <w:rPr>
          <w:rFonts w:ascii="Times New Roman" w:hAnsi="Times New Roman"/>
        </w:rPr>
        <w:t>Network</w:t>
      </w:r>
      <w:proofErr w:type="spellEnd"/>
      <w:r w:rsidR="00B665A5" w:rsidRPr="00E6009C">
        <w:rPr>
          <w:rFonts w:ascii="Times New Roman" w:hAnsi="Times New Roman"/>
        </w:rPr>
        <w:t xml:space="preserve"> Russia, Group M, </w:t>
      </w:r>
      <w:r w:rsid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>
        <w:rPr>
          <w:rFonts w:ascii="Times New Roman" w:hAnsi="Times New Roman"/>
          <w:lang w:val="en-US"/>
        </w:rPr>
        <w:t>Direction</w:t>
      </w:r>
      <w:r w:rsidR="00B665A5" w:rsidRPr="00B665A5">
        <w:rPr>
          <w:rFonts w:ascii="Times New Roman" w:hAnsi="Times New Roman"/>
        </w:rPr>
        <w:t xml:space="preserve"> </w:t>
      </w:r>
      <w:r w:rsid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Instinct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OMD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OM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Russia</w:t>
      </w:r>
      <w:r w:rsidR="00B665A5" w:rsidRPr="00B665A5">
        <w:rPr>
          <w:rFonts w:ascii="Times New Roman" w:hAnsi="Times New Roman"/>
        </w:rPr>
        <w:t xml:space="preserve">, </w:t>
      </w:r>
      <w:r w:rsidR="00B665A5" w:rsidRPr="00B665A5">
        <w:rPr>
          <w:rFonts w:ascii="Times New Roman" w:hAnsi="Times New Roman"/>
          <w:lang w:val="en-US"/>
        </w:rPr>
        <w:t>Publicis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Group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Media</w:t>
      </w:r>
      <w:r w:rsidR="00B665A5" w:rsidRPr="00B665A5">
        <w:rPr>
          <w:rFonts w:ascii="Times New Roman" w:hAnsi="Times New Roman"/>
        </w:rPr>
        <w:t xml:space="preserve"> </w:t>
      </w:r>
      <w:r w:rsidR="00B665A5" w:rsidRPr="00B665A5">
        <w:rPr>
          <w:rFonts w:ascii="Times New Roman" w:hAnsi="Times New Roman"/>
          <w:lang w:val="en-US"/>
        </w:rPr>
        <w:t>Russia</w:t>
      </w:r>
      <w:r w:rsidR="00B665A5">
        <w:rPr>
          <w:rFonts w:ascii="Times New Roman" w:hAnsi="Times New Roman"/>
        </w:rPr>
        <w:t xml:space="preserve"> и </w:t>
      </w:r>
      <w:r w:rsidR="00B665A5" w:rsidRPr="00E6009C">
        <w:rPr>
          <w:rFonts w:ascii="Times New Roman" w:hAnsi="Times New Roman"/>
        </w:rPr>
        <w:t>АДВ</w:t>
      </w:r>
      <w:r w:rsidR="00B665A5">
        <w:rPr>
          <w:rFonts w:ascii="Times New Roman" w:hAnsi="Times New Roman"/>
        </w:rPr>
        <w:t>.</w:t>
      </w:r>
    </w:p>
    <w:p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В этом году впервые в оценке бюджетов</w:t>
      </w:r>
      <w:r w:rsidR="009D4062">
        <w:rPr>
          <w:rFonts w:ascii="Times New Roman" w:hAnsi="Times New Roman"/>
        </w:rPr>
        <w:t xml:space="preserve"> на телерекламу</w:t>
      </w:r>
      <w:r w:rsidRPr="00E6009C">
        <w:rPr>
          <w:rFonts w:ascii="Times New Roman" w:hAnsi="Times New Roman"/>
        </w:rPr>
        <w:t xml:space="preserve"> учитывается качество закупки (фиксированное размещения), исторический параметр (история присутствия рекламодателя в Топ по расходам) и динамика бюджета год к году. Изменения стали возможны благодаря доработке подхода, в формировании которого с 2019 года принимают участие не только </w:t>
      </w:r>
      <w:proofErr w:type="spellStart"/>
      <w:r w:rsidRPr="00E6009C">
        <w:rPr>
          <w:rFonts w:ascii="Times New Roman" w:hAnsi="Times New Roman"/>
        </w:rPr>
        <w:t>агентсткие</w:t>
      </w:r>
      <w:proofErr w:type="spellEnd"/>
      <w:r w:rsidRPr="00E6009C">
        <w:rPr>
          <w:rFonts w:ascii="Times New Roman" w:hAnsi="Times New Roman"/>
        </w:rPr>
        <w:t xml:space="preserve"> эксперты, но и остальные участников рекламного процесса - рекламодатели, площадки, измерители и </w:t>
      </w:r>
      <w:proofErr w:type="spellStart"/>
      <w:r w:rsidRPr="00E6009C">
        <w:rPr>
          <w:rFonts w:ascii="Times New Roman" w:hAnsi="Times New Roman"/>
        </w:rPr>
        <w:t>селлеры</w:t>
      </w:r>
      <w:proofErr w:type="spellEnd"/>
      <w:r w:rsidRPr="00E6009C">
        <w:rPr>
          <w:rFonts w:ascii="Times New Roman" w:hAnsi="Times New Roman"/>
        </w:rPr>
        <w:t>.</w:t>
      </w:r>
    </w:p>
    <w:p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обсуждении методики оценки бюджетов 2019 года приняли участие представители компаний </w:t>
      </w:r>
      <w:proofErr w:type="spellStart"/>
      <w:r w:rsidRPr="00E6009C">
        <w:rPr>
          <w:rFonts w:ascii="Times New Roman" w:hAnsi="Times New Roman"/>
        </w:rPr>
        <w:t>Adscan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Boiron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Cityads</w:t>
      </w:r>
      <w:proofErr w:type="spellEnd"/>
      <w:r w:rsidRPr="00E6009C">
        <w:rPr>
          <w:rFonts w:ascii="Times New Roman" w:hAnsi="Times New Roman"/>
        </w:rPr>
        <w:t xml:space="preserve"> Media, </w:t>
      </w:r>
      <w:proofErr w:type="spellStart"/>
      <w:r w:rsidRPr="00E6009C">
        <w:rPr>
          <w:rFonts w:ascii="Times New Roman" w:hAnsi="Times New Roman"/>
        </w:rPr>
        <w:t>CPAExchange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Dentsu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Aegis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Network</w:t>
      </w:r>
      <w:proofErr w:type="spellEnd"/>
      <w:r w:rsidRPr="00E6009C">
        <w:rPr>
          <w:rFonts w:ascii="Times New Roman" w:hAnsi="Times New Roman"/>
        </w:rPr>
        <w:t xml:space="preserve"> Russia, </w:t>
      </w:r>
      <w:proofErr w:type="spellStart"/>
      <w:r w:rsidRPr="00E6009C">
        <w:rPr>
          <w:rFonts w:ascii="Times New Roman" w:hAnsi="Times New Roman"/>
        </w:rPr>
        <w:t>Digital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Budget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Digital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Geeks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GroupM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Havas</w:t>
      </w:r>
      <w:proofErr w:type="spellEnd"/>
      <w:r w:rsidRPr="00E6009C">
        <w:rPr>
          <w:rFonts w:ascii="Times New Roman" w:hAnsi="Times New Roman"/>
        </w:rPr>
        <w:t xml:space="preserve"> Media, i.Com, </w:t>
      </w:r>
      <w:proofErr w:type="spellStart"/>
      <w:r w:rsidRPr="00E6009C">
        <w:rPr>
          <w:rFonts w:ascii="Times New Roman" w:hAnsi="Times New Roman"/>
        </w:rPr>
        <w:t>Icon</w:t>
      </w:r>
      <w:proofErr w:type="spellEnd"/>
      <w:r w:rsidRPr="00E6009C">
        <w:rPr>
          <w:rFonts w:ascii="Times New Roman" w:hAnsi="Times New Roman"/>
        </w:rPr>
        <w:t xml:space="preserve"> Group, Mail.ru Group, Media </w:t>
      </w:r>
      <w:proofErr w:type="spellStart"/>
      <w:r w:rsidRPr="00E6009C">
        <w:rPr>
          <w:rFonts w:ascii="Times New Roman" w:hAnsi="Times New Roman"/>
        </w:rPr>
        <w:t>Direction</w:t>
      </w:r>
      <w:proofErr w:type="spellEnd"/>
      <w:r w:rsidRPr="00E6009C">
        <w:rPr>
          <w:rFonts w:ascii="Times New Roman" w:hAnsi="Times New Roman"/>
        </w:rPr>
        <w:t xml:space="preserve"> Group,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Multitec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Nectarin</w:t>
      </w:r>
      <w:proofErr w:type="spellEnd"/>
      <w:r w:rsidRPr="00E6009C">
        <w:rPr>
          <w:rFonts w:ascii="Times New Roman" w:hAnsi="Times New Roman"/>
        </w:rPr>
        <w:t xml:space="preserve">, NMI Group, OMD OM Group, </w:t>
      </w:r>
      <w:proofErr w:type="spellStart"/>
      <w:r w:rsidRPr="00E6009C">
        <w:rPr>
          <w:rFonts w:ascii="Times New Roman" w:hAnsi="Times New Roman"/>
        </w:rPr>
        <w:t>Pfizer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Publicis</w:t>
      </w:r>
      <w:proofErr w:type="spellEnd"/>
      <w:r w:rsidRPr="00E6009C">
        <w:rPr>
          <w:rFonts w:ascii="Times New Roman" w:hAnsi="Times New Roman"/>
        </w:rPr>
        <w:t xml:space="preserve"> Media Russia, </w:t>
      </w:r>
      <w:proofErr w:type="spellStart"/>
      <w:r w:rsidRPr="00E6009C">
        <w:rPr>
          <w:rFonts w:ascii="Times New Roman" w:hAnsi="Times New Roman"/>
        </w:rPr>
        <w:t>Reckitt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Benckiser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Healthcare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Segmento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Starlink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Tandem</w:t>
      </w:r>
      <w:proofErr w:type="spellEnd"/>
      <w:r w:rsidRPr="00E6009C">
        <w:rPr>
          <w:rFonts w:ascii="Times New Roman" w:hAnsi="Times New Roman"/>
        </w:rPr>
        <w:t xml:space="preserve"> Group, </w:t>
      </w:r>
      <w:proofErr w:type="spellStart"/>
      <w:r w:rsidRPr="00E6009C">
        <w:rPr>
          <w:rFonts w:ascii="Times New Roman" w:hAnsi="Times New Roman"/>
        </w:rPr>
        <w:t>Unilever</w:t>
      </w:r>
      <w:proofErr w:type="spellEnd"/>
      <w:r w:rsidRPr="00E6009C">
        <w:rPr>
          <w:rFonts w:ascii="Times New Roman" w:hAnsi="Times New Roman"/>
        </w:rPr>
        <w:t xml:space="preserve">, АДВ, Билайн, НСК, Яндекс. </w:t>
      </w:r>
    </w:p>
    <w:p w:rsidR="005E1553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результате </w:t>
      </w:r>
      <w:r w:rsidR="000D2EE2">
        <w:rPr>
          <w:rFonts w:ascii="Times New Roman" w:hAnsi="Times New Roman"/>
        </w:rPr>
        <w:t xml:space="preserve">поэтапного согласования </w:t>
      </w:r>
      <w:r w:rsidRPr="00E6009C">
        <w:rPr>
          <w:rFonts w:ascii="Times New Roman" w:hAnsi="Times New Roman"/>
        </w:rPr>
        <w:t>были определены факторы, способные повлиять на оценку, и подготовлены механизмы учета их влияния.</w:t>
      </w:r>
      <w:r w:rsidR="000D2EE2">
        <w:rPr>
          <w:rFonts w:ascii="Times New Roman" w:hAnsi="Times New Roman"/>
        </w:rPr>
        <w:t xml:space="preserve"> Подробная методика доступна на сайте </w:t>
      </w:r>
      <w:r w:rsidR="000D2EE2">
        <w:rPr>
          <w:rFonts w:ascii="Times New Roman" w:hAnsi="Times New Roman"/>
          <w:lang w:val="en-US"/>
        </w:rPr>
        <w:t>AdIndex</w:t>
      </w:r>
      <w:r w:rsidR="000D2EE2">
        <w:rPr>
          <w:rFonts w:ascii="Times New Roman" w:hAnsi="Times New Roman"/>
        </w:rPr>
        <w:t>.</w:t>
      </w:r>
    </w:p>
    <w:p w:rsidR="008D456E" w:rsidRPr="000D2EE2" w:rsidRDefault="008D456E" w:rsidP="005E1553">
      <w:pPr>
        <w:rPr>
          <w:rFonts w:ascii="Times New Roman" w:hAnsi="Times New Roman"/>
        </w:rPr>
      </w:pPr>
      <w:r>
        <w:rPr>
          <w:rFonts w:ascii="Times New Roman" w:hAnsi="Times New Roman"/>
        </w:rPr>
        <w:t>В связи с изменением подхода данные приводятся без сравнения с показателями 2018 года.</w:t>
      </w:r>
    </w:p>
    <w:p w:rsidR="008D456E" w:rsidRPr="00E6009C" w:rsidRDefault="008D456E" w:rsidP="008D456E">
      <w:pPr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E6009C">
        <w:rPr>
          <w:rFonts w:ascii="Times New Roman" w:hAnsi="Times New Roman"/>
        </w:rPr>
        <w:t>юджеты приводятся без НДС.</w:t>
      </w:r>
    </w:p>
    <w:p w:rsidR="00053CA6" w:rsidRPr="00E6009C" w:rsidRDefault="00053CA6" w:rsidP="00053CA6">
      <w:pPr>
        <w:rPr>
          <w:rFonts w:ascii="Times New Roman" w:hAnsi="Times New Roman"/>
        </w:rPr>
      </w:pPr>
    </w:p>
    <w:p w:rsidR="005E1553" w:rsidRPr="00E6009C" w:rsidRDefault="008D456E" w:rsidP="005E1553">
      <w:pPr>
        <w:pBdr>
          <w:bottom w:val="single" w:sz="4" w:space="1" w:color="auto"/>
        </w:pBd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ПОДРОБНАЯ </w:t>
      </w:r>
      <w:r w:rsidR="005E1553" w:rsidRPr="00E6009C">
        <w:rPr>
          <w:rFonts w:ascii="Times New Roman" w:hAnsi="Times New Roman"/>
          <w:b/>
          <w:bCs/>
        </w:rPr>
        <w:t>МЕТОДИКА ОЦЕНКИ БЮДЖЕТОВ 2019 ГОДА</w:t>
      </w:r>
    </w:p>
    <w:p w:rsidR="005E1553" w:rsidRPr="00E6009C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НАЦИОНАЛЬНОЕ ТВ</w:t>
      </w:r>
    </w:p>
    <w:p w:rsidR="005E1553" w:rsidRPr="00E6009C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ФУНДАМЕНТ ПОДХОДА</w:t>
      </w:r>
    </w:p>
    <w:p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Основа: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 xml:space="preserve"> + агентская </w:t>
      </w:r>
      <w:proofErr w:type="spellStart"/>
      <w:r w:rsidRPr="00E6009C">
        <w:rPr>
          <w:rFonts w:ascii="Times New Roman" w:hAnsi="Times New Roman"/>
        </w:rPr>
        <w:t>баинговая</w:t>
      </w:r>
      <w:proofErr w:type="spellEnd"/>
      <w:r w:rsidRPr="00E6009C">
        <w:rPr>
          <w:rFonts w:ascii="Times New Roman" w:hAnsi="Times New Roman"/>
        </w:rPr>
        <w:t xml:space="preserve"> экспертиза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При оценке бюджетов на ТВ все рекламодатели делятся на несколько категорий в зависимости от объема закупленных пунктов рейтинга (GRP). Принципы деления – отнесения рекламодателя к той или иной </w:t>
      </w:r>
      <w:proofErr w:type="gramStart"/>
      <w:r w:rsidRPr="00E6009C">
        <w:rPr>
          <w:rFonts w:ascii="Times New Roman" w:hAnsi="Times New Roman"/>
        </w:rPr>
        <w:t>категории,  определяются</w:t>
      </w:r>
      <w:proofErr w:type="gramEnd"/>
      <w:r w:rsidRPr="00E6009C">
        <w:rPr>
          <w:rFonts w:ascii="Times New Roman" w:hAnsi="Times New Roman"/>
        </w:rPr>
        <w:t xml:space="preserve"> путем опроса крупнейших </w:t>
      </w:r>
      <w:proofErr w:type="spellStart"/>
      <w:r w:rsidRPr="00E6009C">
        <w:rPr>
          <w:rFonts w:ascii="Times New Roman" w:hAnsi="Times New Roman"/>
        </w:rPr>
        <w:t>медиабаинговых</w:t>
      </w:r>
      <w:proofErr w:type="spellEnd"/>
      <w:r w:rsidRPr="00E6009C">
        <w:rPr>
          <w:rFonts w:ascii="Times New Roman" w:hAnsi="Times New Roman"/>
        </w:rPr>
        <w:t xml:space="preserve"> групп. После формирования границ категорий рекламные агентства дают свою экспертную оценку стоимости 1 GRP для каждой группы рекламодателей по каждому из каналов с учетом особенностей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>-слотах, в сетевых и орбитальных блоках, а также сезонных особенностей.</w:t>
      </w:r>
    </w:p>
    <w:p w:rsidR="005E1553" w:rsidRPr="00E6009C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НОВОЕ В ОЦЕНКЕ</w:t>
      </w: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Учет исторического фактора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Влияние присутствия рекламодателя в Топ-10 в 2000-2007 гг. и 2019 г.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Обоснование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период бурного роста рекламного рынка в 2000-2007 гг. крупнейшие рекламодатели обеспечили себе низкую базу СРР за счет больших объемов и многолетних сделок. После кризиса 2008 года крупнейшие </w:t>
      </w:r>
      <w:proofErr w:type="gramStart"/>
      <w:r w:rsidRPr="00E6009C">
        <w:rPr>
          <w:rFonts w:ascii="Times New Roman" w:hAnsi="Times New Roman"/>
        </w:rPr>
        <w:t>рекламодатели  сохраняли</w:t>
      </w:r>
      <w:proofErr w:type="gramEnd"/>
      <w:r w:rsidRPr="00E6009C">
        <w:rPr>
          <w:rFonts w:ascii="Times New Roman" w:hAnsi="Times New Roman"/>
        </w:rPr>
        <w:t xml:space="preserve"> низкую базу, двигаясь по цене на </w:t>
      </w:r>
      <w:r w:rsidRPr="00E6009C">
        <w:rPr>
          <w:rFonts w:ascii="Times New Roman" w:hAnsi="Times New Roman"/>
        </w:rPr>
        <w:lastRenderedPageBreak/>
        <w:t>уровне среднерыночной инфляции. Объективная картина сложилась таким образом, что при сопоставимых бюджетах существует довольно значительный разрыв между ценой рекламодателей, активно представленных в 2000-2007 гг., с так называемой «историей цены» и новых рекламодателей, пришедших после 2008 г. Это приводит к искажению оценки актуальных бюджетов при использовании кластерного подхода к СРР.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Решение</w:t>
      </w:r>
    </w:p>
    <w:p w:rsidR="005E1553" w:rsidRPr="00E6009C" w:rsidRDefault="005E1553" w:rsidP="005E1553">
      <w:pPr>
        <w:shd w:val="clear" w:color="auto" w:fill="FFFFFF"/>
        <w:spacing w:after="158" w:line="240" w:lineRule="auto"/>
        <w:ind w:left="709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Стоимость размещения для рекламодателей, в 2002-2007 годах присутствовавшие в Топ-10 и сохранившие большие объемы в 2019 году, индексируется с понижением. Рекламодатели, закупающие большие объемы в изучаемый период, которые в 2019 году не входили в лидеры рейтинга, получали повышающий коэффициент при расчете цены.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Формула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На </w:t>
      </w:r>
      <w:proofErr w:type="gramStart"/>
      <w:r w:rsidRPr="00E6009C">
        <w:rPr>
          <w:rFonts w:ascii="Times New Roman" w:hAnsi="Times New Roman"/>
        </w:rPr>
        <w:t>основе  данных</w:t>
      </w:r>
      <w:proofErr w:type="gram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 xml:space="preserve"> формируются ТОР-100 рекламодателей с </w:t>
      </w:r>
      <w:proofErr w:type="spellStart"/>
      <w:r w:rsidRPr="00E6009C">
        <w:rPr>
          <w:rFonts w:ascii="Times New Roman" w:hAnsi="Times New Roman"/>
        </w:rPr>
        <w:t>ренкингом</w:t>
      </w:r>
      <w:proofErr w:type="spellEnd"/>
      <w:r w:rsidRPr="00E6009C">
        <w:rPr>
          <w:rFonts w:ascii="Times New Roman" w:hAnsi="Times New Roman"/>
        </w:rPr>
        <w:t xml:space="preserve"> по GRP30" 18+ с 2002 по 2007 год. </w:t>
      </w:r>
    </w:p>
    <w:p w:rsidR="005E1553" w:rsidRPr="00E6009C" w:rsidRDefault="005E1553" w:rsidP="005E155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Выводится средняя позиция в рейтинге в изучаемый период. Принимается, что рекламодатели, которые по этому рейтингу входили в Топ-10 (средняя позиция в рейтинге за 6 лет не менее 10), имеют «историческую сделку». В оценке их бюджетов к СРР применяется понижающий коэффициент 0,85 (уточнен в ходе опроса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групп).</w:t>
      </w:r>
    </w:p>
    <w:p w:rsidR="005E1553" w:rsidRPr="00E6009C" w:rsidRDefault="005E1553" w:rsidP="005E155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топовых рекламодателей, которые в последующие годы значительно сократили активность, и чья историческая цена, </w:t>
      </w:r>
      <w:proofErr w:type="gramStart"/>
      <w:r w:rsidRPr="00E6009C">
        <w:rPr>
          <w:rFonts w:ascii="Times New Roman" w:hAnsi="Times New Roman"/>
        </w:rPr>
        <w:t>следовательно,  перестала</w:t>
      </w:r>
      <w:proofErr w:type="gramEnd"/>
      <w:r w:rsidRPr="00E6009C">
        <w:rPr>
          <w:rFonts w:ascii="Times New Roman" w:hAnsi="Times New Roman"/>
        </w:rPr>
        <w:t xml:space="preserve"> быть уникальной, применяется обратный коэффициент – повышающий, в зависимости от позиции рекламодателя в </w:t>
      </w:r>
      <w:proofErr w:type="spellStart"/>
      <w:r w:rsidRPr="00E6009C">
        <w:rPr>
          <w:rFonts w:ascii="Times New Roman" w:hAnsi="Times New Roman"/>
        </w:rPr>
        <w:t>ренкинге</w:t>
      </w:r>
      <w:proofErr w:type="spellEnd"/>
      <w:r w:rsidRPr="00E6009C">
        <w:rPr>
          <w:rFonts w:ascii="Times New Roman" w:hAnsi="Times New Roman"/>
        </w:rPr>
        <w:t>. Например, если в 2019 году рекламодатель идентифицировался на первом этапе как владелец «исторической сделки», не вошел в Топ-20, к нему применяется индекс 1,1, если не входит в Топ-30 - индекс 1,3 (коэффициенты будут уточняться в ходе опроса).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Пример расчета</w:t>
      </w:r>
    </w:p>
    <w:p w:rsidR="005E1553" w:rsidRPr="00E6009C" w:rsidRDefault="005E1553" w:rsidP="005E1553">
      <w:pPr>
        <w:pStyle w:val="a3"/>
        <w:ind w:left="709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Условный «</w:t>
      </w:r>
      <w:proofErr w:type="gramStart"/>
      <w:r w:rsidRPr="00E6009C">
        <w:rPr>
          <w:rFonts w:ascii="Times New Roman" w:hAnsi="Times New Roman"/>
        </w:rPr>
        <w:t>Рекламодатель  А</w:t>
      </w:r>
      <w:proofErr w:type="gramEnd"/>
      <w:r w:rsidRPr="00E6009C">
        <w:rPr>
          <w:rFonts w:ascii="Times New Roman" w:hAnsi="Times New Roman"/>
        </w:rPr>
        <w:t xml:space="preserve">» по рейтингу 2002-2007 имеет «историческую сделку», </w:t>
      </w:r>
      <w:proofErr w:type="spellStart"/>
      <w:r w:rsidRPr="00E6009C">
        <w:rPr>
          <w:rFonts w:ascii="Times New Roman" w:hAnsi="Times New Roman"/>
        </w:rPr>
        <w:t>занимаz</w:t>
      </w:r>
      <w:proofErr w:type="spellEnd"/>
      <w:r w:rsidRPr="00E6009C">
        <w:rPr>
          <w:rFonts w:ascii="Times New Roman" w:hAnsi="Times New Roman"/>
        </w:rPr>
        <w:t>, в среднем, 6 позицию. Следовательно, при оценке бюджета 2019 года будет применяться коэффициент 0.85. При этом в 2019 году «</w:t>
      </w:r>
      <w:proofErr w:type="gramStart"/>
      <w:r w:rsidRPr="00E6009C">
        <w:rPr>
          <w:rFonts w:ascii="Times New Roman" w:hAnsi="Times New Roman"/>
        </w:rPr>
        <w:t>Рекламодатель  А</w:t>
      </w:r>
      <w:proofErr w:type="gramEnd"/>
      <w:r w:rsidRPr="00E6009C">
        <w:rPr>
          <w:rFonts w:ascii="Times New Roman" w:hAnsi="Times New Roman"/>
        </w:rPr>
        <w:t>» находится на 38 месте, то есть его ценовое преимущество полностью исчезло, а, значит, требуется применить повышающий коэффициент 1.3.  Результирующий индекс рассчитывается перемножением двух показателей: 0.85*1.3=1.1. При расчете бюджета «Рекламодателя А» к CPP соответствующего кластера будет применяться результирующий коэффициент 1.1.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E6009C">
      <w:pPr>
        <w:pStyle w:val="a3"/>
        <w:ind w:left="709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Коэффициенты, применяемые в оценке 2019 года:</w:t>
      </w:r>
      <w:r w:rsidRPr="00E6009C">
        <w:rPr>
          <w:rFonts w:ascii="Times New Roman" w:hAnsi="Times New Roman"/>
          <w:b/>
          <w:bCs/>
        </w:rPr>
        <w:tab/>
      </w:r>
    </w:p>
    <w:tbl>
      <w:tblPr>
        <w:tblW w:w="6520" w:type="dxa"/>
        <w:tblInd w:w="846" w:type="dxa"/>
        <w:tblLook w:val="04A0" w:firstRow="1" w:lastRow="0" w:firstColumn="1" w:lastColumn="0" w:noHBand="0" w:noVBand="1"/>
      </w:tblPr>
      <w:tblGrid>
        <w:gridCol w:w="2693"/>
        <w:gridCol w:w="3827"/>
      </w:tblGrid>
      <w:tr w:rsidR="005E1553" w:rsidRPr="003912CF" w:rsidTr="00E6009C">
        <w:trPr>
          <w:trHeight w:val="2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Рекламодатель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Исторический коэффициент</w:t>
            </w: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Danone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1.10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Henkel</w:t>
            </w:r>
            <w:proofErr w:type="spellEnd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Group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0.94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>L'</w:t>
            </w:r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oreal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0.85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Mars</w:t>
            </w:r>
            <w:proofErr w:type="spellEnd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-Russia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0.85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Nestle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0.85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Procter</w:t>
            </w:r>
            <w:proofErr w:type="spellEnd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&amp; </w:t>
            </w: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Gamble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0.85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Reckitt</w:t>
            </w:r>
            <w:proofErr w:type="spellEnd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Benckiser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1.10   </w:t>
            </w:r>
          </w:p>
        </w:tc>
      </w:tr>
      <w:tr w:rsidR="005E1553" w:rsidRPr="003912CF" w:rsidTr="00E6009C">
        <w:trPr>
          <w:trHeight w:val="2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6009C">
              <w:rPr>
                <w:rFonts w:ascii="Times New Roman" w:eastAsia="Times New Roman" w:hAnsi="Times New Roman"/>
                <w:color w:val="000000"/>
                <w:lang w:eastAsia="ru-RU"/>
              </w:rPr>
              <w:t>Unilever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553" w:rsidRPr="003912CF" w:rsidRDefault="005E1553" w:rsidP="0078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2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0.85   </w:t>
            </w:r>
          </w:p>
        </w:tc>
      </w:tr>
    </w:tbl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</w:rPr>
      </w:pPr>
      <w:bookmarkStart w:id="0" w:name="_Hlk21104052"/>
      <w:r w:rsidRPr="00E6009C">
        <w:rPr>
          <w:rFonts w:ascii="Times New Roman" w:hAnsi="Times New Roman"/>
          <w:b/>
          <w:bCs/>
        </w:rPr>
        <w:lastRenderedPageBreak/>
        <w:t xml:space="preserve">Оценка фиксированного размещения через косвенные признаки качественного размещения. </w:t>
      </w:r>
    </w:p>
    <w:p w:rsidR="005E1553" w:rsidRPr="00E6009C" w:rsidRDefault="005E1553" w:rsidP="005E1553">
      <w:pPr>
        <w:ind w:left="360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Обоснование</w:t>
      </w:r>
    </w:p>
    <w:p w:rsidR="005E1553" w:rsidRPr="00E6009C" w:rsidRDefault="005E1553" w:rsidP="005E1553">
      <w:pPr>
        <w:ind w:left="36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До последнего времени основной претензией к внешней оценке бюджетов на национальном ТВ являлся единый подход к ценообразованию при фиксированном размещении (когда ролик выходит в определенных программах или рекламных блоках в конкретные дни, которые выбрал рекламодатель) и плавающем (произвольном размещении рекламы в эфире). Исторически CPP в разных кластерах рекламодателей оцениваются по единым </w:t>
      </w:r>
      <w:proofErr w:type="spellStart"/>
      <w:r w:rsidRPr="00E6009C">
        <w:rPr>
          <w:rFonts w:ascii="Times New Roman" w:hAnsi="Times New Roman"/>
        </w:rPr>
        <w:t>раценкам</w:t>
      </w:r>
      <w:proofErr w:type="spellEnd"/>
      <w:r w:rsidRPr="00E6009C">
        <w:rPr>
          <w:rFonts w:ascii="Times New Roman" w:hAnsi="Times New Roman"/>
        </w:rPr>
        <w:t xml:space="preserve">, исходя из стандартной доли фикса в 40%. Однако общеизвестно, что плавающее и фиксированное размещение стоят по-разному, а разница между клиентом, покупающим 100% фикс (некоторые банки, большинство автопроизводителей) и клиентами с низким качеством (минимальной долей фикса) может достигать 20%.  </w:t>
      </w:r>
    </w:p>
    <w:p w:rsidR="005E1553" w:rsidRPr="00E6009C" w:rsidRDefault="005E1553" w:rsidP="005E1553">
      <w:pPr>
        <w:ind w:left="426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Решение</w:t>
      </w:r>
    </w:p>
    <w:p w:rsidR="005E1553" w:rsidRPr="00E6009C" w:rsidRDefault="005E1553" w:rsidP="00E6009C">
      <w:pPr>
        <w:ind w:left="36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Первым шагом в попытке объективно оценить долю фиксированного размещения может стать анализ корреляции % рейтингов, полученных в ночное время (02:00-05:59) и фактической доли фиксированного размещения. Поскольку ночь - не эффективное для рекламодателей время, выход в ночное время косвенно подтверждает гипотезу, что ролик туда попал в рамках плавающего размещения. </w:t>
      </w:r>
    </w:p>
    <w:p w:rsidR="005E1553" w:rsidRPr="00E6009C" w:rsidRDefault="005E1553" w:rsidP="00E6009C">
      <w:pPr>
        <w:shd w:val="clear" w:color="auto" w:fill="FFFFFF"/>
        <w:spacing w:after="158"/>
        <w:ind w:left="426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Путем экспертного опроса была </w:t>
      </w:r>
      <w:proofErr w:type="spellStart"/>
      <w:r w:rsidRPr="00E6009C">
        <w:rPr>
          <w:rFonts w:ascii="Times New Roman" w:hAnsi="Times New Roman"/>
        </w:rPr>
        <w:t>определна</w:t>
      </w:r>
      <w:proofErr w:type="spellEnd"/>
      <w:r w:rsidRPr="00E6009C">
        <w:rPr>
          <w:rFonts w:ascii="Times New Roman" w:hAnsi="Times New Roman"/>
        </w:rPr>
        <w:t xml:space="preserve"> взаимосвязь доли ночного размещения (высчитывается на основе мониторинга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 xml:space="preserve">) и доли фиксированного размещения – чем больше доля ночи, тем более вероятно, что размещение рекламодателя было «плавающим», </w:t>
      </w:r>
      <w:proofErr w:type="gramStart"/>
      <w:r w:rsidRPr="00E6009C">
        <w:rPr>
          <w:rFonts w:ascii="Times New Roman" w:hAnsi="Times New Roman"/>
        </w:rPr>
        <w:t>т.е.</w:t>
      </w:r>
      <w:proofErr w:type="gramEnd"/>
      <w:r w:rsidRPr="00E6009C">
        <w:rPr>
          <w:rFonts w:ascii="Times New Roman" w:hAnsi="Times New Roman"/>
        </w:rPr>
        <w:t xml:space="preserve"> произошло в произвольно выбранное время. Также в ходе экспертного опроса выяснялась наценка на фикс (</w:t>
      </w:r>
      <w:proofErr w:type="spellStart"/>
      <w:r w:rsidRPr="00E6009C">
        <w:rPr>
          <w:rFonts w:ascii="Times New Roman" w:hAnsi="Times New Roman"/>
        </w:rPr>
        <w:t>суперфикс</w:t>
      </w:r>
      <w:proofErr w:type="spellEnd"/>
      <w:r w:rsidRPr="00E6009C">
        <w:rPr>
          <w:rFonts w:ascii="Times New Roman" w:hAnsi="Times New Roman"/>
        </w:rPr>
        <w:t xml:space="preserve">) на разных каналах. </w:t>
      </w:r>
    </w:p>
    <w:p w:rsidR="005E1553" w:rsidRPr="00E6009C" w:rsidRDefault="005E1553" w:rsidP="005E1553">
      <w:pPr>
        <w:ind w:left="360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Формула</w:t>
      </w:r>
    </w:p>
    <w:p w:rsidR="005E1553" w:rsidRPr="00E6009C" w:rsidRDefault="005E1553" w:rsidP="005E1553">
      <w:pPr>
        <w:ind w:left="36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На основе опроса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групп, располагающих большим спектром клиентов из разных категорий, была построена модель, в которой по оси Х откладывалась доля ночи клиентов группы, по оси Y – их доля фикса (все данные агентства приводили </w:t>
      </w:r>
      <w:proofErr w:type="spellStart"/>
      <w:r w:rsidRPr="00E6009C">
        <w:rPr>
          <w:rFonts w:ascii="Times New Roman" w:hAnsi="Times New Roman"/>
        </w:rPr>
        <w:t>обезличенно</w:t>
      </w:r>
      <w:proofErr w:type="spellEnd"/>
      <w:r w:rsidRPr="00E6009C">
        <w:rPr>
          <w:rFonts w:ascii="Times New Roman" w:hAnsi="Times New Roman"/>
        </w:rPr>
        <w:t xml:space="preserve">). Анализ корреляции дал коэффициент, отражающий зависимость доли фиксированного размещения </w:t>
      </w:r>
      <w:proofErr w:type="gramStart"/>
      <w:r w:rsidRPr="00E6009C">
        <w:rPr>
          <w:rFonts w:ascii="Times New Roman" w:hAnsi="Times New Roman"/>
        </w:rPr>
        <w:t>от  доли</w:t>
      </w:r>
      <w:proofErr w:type="gramEnd"/>
      <w:r w:rsidRPr="00E6009C">
        <w:rPr>
          <w:rFonts w:ascii="Times New Roman" w:hAnsi="Times New Roman"/>
        </w:rPr>
        <w:t xml:space="preserve"> ночи. Поправочный индекс фикса был рассчитываться как соотношение наценки за долю фикса конкретного клиента к наценке за 40% фикс. </w:t>
      </w:r>
    </w:p>
    <w:p w:rsidR="005E1553" w:rsidRPr="00E6009C" w:rsidRDefault="005E1553" w:rsidP="005E1553">
      <w:pPr>
        <w:ind w:left="360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Этапы расчетов</w:t>
      </w:r>
    </w:p>
    <w:p w:rsidR="005E1553" w:rsidRPr="00E6009C" w:rsidRDefault="005E1553" w:rsidP="005E155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На </w:t>
      </w:r>
      <w:proofErr w:type="gramStart"/>
      <w:r w:rsidRPr="00E6009C">
        <w:rPr>
          <w:rFonts w:ascii="Times New Roman" w:hAnsi="Times New Roman"/>
        </w:rPr>
        <w:t>основе  данных</w:t>
      </w:r>
      <w:proofErr w:type="gram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 xml:space="preserve"> была рассчитана доля ночи по каждому рекламодателю.</w:t>
      </w:r>
    </w:p>
    <w:p w:rsidR="005E1553" w:rsidRPr="00E6009C" w:rsidRDefault="005E1553" w:rsidP="005E1553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E6009C">
        <w:rPr>
          <w:rFonts w:ascii="Times New Roman" w:hAnsi="Times New Roman"/>
        </w:rPr>
        <w:t>Баинговые</w:t>
      </w:r>
      <w:proofErr w:type="spellEnd"/>
      <w:r w:rsidRPr="00E6009C">
        <w:rPr>
          <w:rFonts w:ascii="Times New Roman" w:hAnsi="Times New Roman"/>
        </w:rPr>
        <w:t xml:space="preserve"> группы опрашивались на предмет получения максимальной выборки данных в формате «Рекламодатель (</w:t>
      </w:r>
      <w:proofErr w:type="spellStart"/>
      <w:r w:rsidRPr="00E6009C">
        <w:rPr>
          <w:rFonts w:ascii="Times New Roman" w:hAnsi="Times New Roman"/>
        </w:rPr>
        <w:t>обезличенно</w:t>
      </w:r>
      <w:proofErr w:type="spellEnd"/>
      <w:r w:rsidRPr="00E6009C">
        <w:rPr>
          <w:rFonts w:ascii="Times New Roman" w:hAnsi="Times New Roman"/>
        </w:rPr>
        <w:t>, под любым условным именем)/Доля ночи/Доля фикса».</w:t>
      </w:r>
    </w:p>
    <w:p w:rsidR="005E1553" w:rsidRPr="00E6009C" w:rsidRDefault="005E1553" w:rsidP="005E155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На основе полученных данных была построена зависимость, на основе которой выведен коэффициент расчета доли фикса. Применение этого коэффициента к доле ночи дало оценку фикса модели для каждого рекламодателя</w:t>
      </w:r>
    </w:p>
    <w:p w:rsidR="005E1553" w:rsidRPr="00E6009C" w:rsidRDefault="005E1553" w:rsidP="005E1553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E6009C">
        <w:rPr>
          <w:rFonts w:ascii="Times New Roman" w:hAnsi="Times New Roman"/>
        </w:rPr>
        <w:t>Баинговые</w:t>
      </w:r>
      <w:proofErr w:type="spellEnd"/>
      <w:r w:rsidRPr="00E6009C">
        <w:rPr>
          <w:rFonts w:ascii="Times New Roman" w:hAnsi="Times New Roman"/>
        </w:rPr>
        <w:t xml:space="preserve"> группы предоставили свою оценку СРР в разных кластерах рекламодателей, </w:t>
      </w:r>
      <w:proofErr w:type="spellStart"/>
      <w:r w:rsidRPr="00E6009C">
        <w:rPr>
          <w:rFonts w:ascii="Times New Roman" w:hAnsi="Times New Roman"/>
        </w:rPr>
        <w:t>поканально</w:t>
      </w:r>
      <w:proofErr w:type="spellEnd"/>
      <w:r w:rsidRPr="00E6009C">
        <w:rPr>
          <w:rFonts w:ascii="Times New Roman" w:hAnsi="Times New Roman"/>
        </w:rPr>
        <w:t>, исходя из средней доли фиксированного размещения в 40%.</w:t>
      </w:r>
    </w:p>
    <w:p w:rsidR="005E1553" w:rsidRPr="00E6009C" w:rsidRDefault="005E1553" w:rsidP="005E155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учета всех остальных вариантов распределения «фикс/плавание» рассчитанная доля фикса по модели пересчитывалась с учетом </w:t>
      </w:r>
      <w:proofErr w:type="spellStart"/>
      <w:r w:rsidRPr="00E6009C">
        <w:rPr>
          <w:rFonts w:ascii="Times New Roman" w:hAnsi="Times New Roman"/>
        </w:rPr>
        <w:t>поканальной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SoV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поканальной</w:t>
      </w:r>
      <w:proofErr w:type="spellEnd"/>
      <w:r w:rsidRPr="00E6009C">
        <w:rPr>
          <w:rFonts w:ascii="Times New Roman" w:hAnsi="Times New Roman"/>
        </w:rPr>
        <w:t xml:space="preserve"> наценки на фиксированное размещение.</w:t>
      </w:r>
    </w:p>
    <w:p w:rsidR="005E1553" w:rsidRPr="00E6009C" w:rsidRDefault="005E1553" w:rsidP="005E1553">
      <w:pPr>
        <w:pStyle w:val="a3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Пример расчетов</w:t>
      </w:r>
    </w:p>
    <w:p w:rsidR="005E1553" w:rsidRPr="00E6009C" w:rsidRDefault="005E1553" w:rsidP="005E1553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lastRenderedPageBreak/>
        <w:t xml:space="preserve">В результате опроса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групп выяснилось, что доля фикса находится в экспоненциальной зависимости от доли ночи, а формула этой зависимости имеет вид: y = e-37,32x, где y – доля фикса, а х – доля ночи.</w:t>
      </w:r>
    </w:p>
    <w:p w:rsidR="005E1553" w:rsidRPr="00E6009C" w:rsidRDefault="005E1553" w:rsidP="005E1553">
      <w:pPr>
        <w:pStyle w:val="a3"/>
        <w:spacing w:after="0" w:line="240" w:lineRule="auto"/>
        <w:contextualSpacing w:val="0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условного Рекламодателя </w:t>
      </w:r>
      <w:r w:rsidRPr="00E6009C">
        <w:rPr>
          <w:rFonts w:ascii="Times New Roman" w:hAnsi="Times New Roman"/>
          <w:lang w:val="en-US"/>
        </w:rPr>
        <w:t>N</w:t>
      </w:r>
      <w:r w:rsidRPr="00E6009C">
        <w:rPr>
          <w:rFonts w:ascii="Times New Roman" w:hAnsi="Times New Roman"/>
        </w:rPr>
        <w:t xml:space="preserve">, доля ночи которого в 2019 году составила, по данным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>, 4.393%, по формуле «Доля фикса=</w:t>
      </w:r>
      <w:proofErr w:type="gramStart"/>
      <w:r w:rsidRPr="00E6009C">
        <w:rPr>
          <w:rFonts w:ascii="Times New Roman" w:hAnsi="Times New Roman"/>
        </w:rPr>
        <w:t>EXP(</w:t>
      </w:r>
      <w:proofErr w:type="gramEnd"/>
      <w:r w:rsidRPr="00E6009C">
        <w:rPr>
          <w:rFonts w:ascii="Times New Roman" w:hAnsi="Times New Roman"/>
        </w:rPr>
        <w:t xml:space="preserve">-37,32xДоля ночи)» </w:t>
      </w:r>
      <w:proofErr w:type="spellStart"/>
      <w:r w:rsidRPr="00E6009C">
        <w:rPr>
          <w:rFonts w:ascii="Times New Roman" w:hAnsi="Times New Roman"/>
        </w:rPr>
        <w:t>расчетн</w:t>
      </w:r>
      <w:proofErr w:type="spellEnd"/>
      <w:r w:rsidRPr="00E6009C">
        <w:rPr>
          <w:rFonts w:ascii="Times New Roman" w:hAnsi="Times New Roman"/>
        </w:rPr>
        <w:t xml:space="preserve"> долю фикса - 19,41%.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перевода СРР, полученной из расчета средней доли фикса в 40%, в фактическую, для каждого канала годовая </w:t>
      </w:r>
      <w:proofErr w:type="spellStart"/>
      <w:r w:rsidRPr="00E6009C">
        <w:rPr>
          <w:rFonts w:ascii="Times New Roman" w:hAnsi="Times New Roman"/>
        </w:rPr>
        <w:t>SoV</w:t>
      </w:r>
      <w:proofErr w:type="spellEnd"/>
      <w:r w:rsidRPr="00E6009C">
        <w:rPr>
          <w:rFonts w:ascii="Times New Roman" w:hAnsi="Times New Roman"/>
        </w:rPr>
        <w:t xml:space="preserve"> умножается на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сумму произведений (выводится для всех каналов)</w:t>
      </w: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(наценка к прайс-листу за фикс на канале х Доля фикса (оценка модели конкретного рекламодателя) + (1 - Доля фикса (оценка модели конкретного рекламодателя) </w:t>
      </w: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и приводится к (делится на) </w:t>
      </w: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/</w:t>
      </w: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Средняя наценка на размещение при 40% фиксе.</w:t>
      </w: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ind w:left="108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Полученный </w:t>
      </w:r>
      <w:proofErr w:type="spellStart"/>
      <w:r w:rsidRPr="00E6009C">
        <w:rPr>
          <w:rFonts w:ascii="Times New Roman" w:hAnsi="Times New Roman"/>
        </w:rPr>
        <w:t>коэффицент</w:t>
      </w:r>
      <w:proofErr w:type="spellEnd"/>
      <w:r w:rsidRPr="00E6009C">
        <w:rPr>
          <w:rFonts w:ascii="Times New Roman" w:hAnsi="Times New Roman"/>
        </w:rPr>
        <w:t xml:space="preserve"> применяется к средней СРР с повышением (большая доля фикса) или понижением (большая доля плавания). В данном примере коэффициент составил 0,96.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Динамика мониторингового бюджета к предыдущему году</w:t>
      </w:r>
    </w:p>
    <w:p w:rsidR="00E6009C" w:rsidRPr="00E6009C" w:rsidRDefault="00E6009C" w:rsidP="00E6009C">
      <w:pPr>
        <w:pStyle w:val="a3"/>
        <w:rPr>
          <w:rFonts w:ascii="Times New Roman" w:hAnsi="Times New Roman"/>
          <w:b/>
          <w:bCs/>
        </w:rPr>
      </w:pPr>
    </w:p>
    <w:p w:rsidR="005E1553" w:rsidRPr="00E6009C" w:rsidRDefault="005E1553" w:rsidP="005E1553">
      <w:pPr>
        <w:pStyle w:val="a3"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Обоснование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Обычно, если бюджет растет быстрее рынка, это основание для поощрения — понижения инфляции против средней инфляции на рынке. Признаком более выгодных условий </w:t>
      </w:r>
      <w:proofErr w:type="spellStart"/>
      <w:r w:rsidRPr="00E6009C">
        <w:rPr>
          <w:rFonts w:ascii="Times New Roman" w:hAnsi="Times New Roman"/>
        </w:rPr>
        <w:t>селлера</w:t>
      </w:r>
      <w:proofErr w:type="spellEnd"/>
      <w:r w:rsidRPr="00E6009C">
        <w:rPr>
          <w:rFonts w:ascii="Times New Roman" w:hAnsi="Times New Roman"/>
        </w:rPr>
        <w:t xml:space="preserve"> может быть повышение бюджета выше уровня планируемой инфляции по рынку. Точка нулевой инфляции будет получена экспертным опросом. 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зависимости от динамики ТВ-бюджета клиента 2019/2018 оценочный бюджет клиента 2019 будет индексироваться с применением шкалы коэффициентов (шкала будет уточняться в ходе опроса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специалистов), например: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-30%: 1.1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от -30% до -20% = 1.06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от -20% до -10% = 1.03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от -10% до +10% = 1.00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от +10% до +20% = 0.98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от +20% до +30% = 0.96</w:t>
      </w:r>
    </w:p>
    <w:p w:rsidR="005E1553" w:rsidRPr="00E6009C" w:rsidRDefault="005E1553" w:rsidP="005E155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от +30% и выше = 0.95  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Коэффициент гибкости (сравнивается </w:t>
      </w:r>
      <w:proofErr w:type="spellStart"/>
      <w:r w:rsidRPr="00E6009C">
        <w:rPr>
          <w:rFonts w:ascii="Times New Roman" w:hAnsi="Times New Roman"/>
        </w:rPr>
        <w:t>channel</w:t>
      </w:r>
      <w:proofErr w:type="spellEnd"/>
      <w:r w:rsidRPr="00E6009C">
        <w:rPr>
          <w:rFonts w:ascii="Times New Roman" w:hAnsi="Times New Roman"/>
        </w:rPr>
        <w:t xml:space="preserve">-миксы месяц к месяцу). 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Признаком гибкости можно считать меняющийся более чем на 30% в доле от месяца к месяцу по одному и тому же бренду. Поскольку ЦА одна и та же, такие изменения могут свидетельствовать о гибкости. 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Не поддержано большинством опрошенных участников</w:t>
      </w: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Более творческий (креативный) подход к делению кластеров. Привлекать </w:t>
      </w:r>
      <w:proofErr w:type="spellStart"/>
      <w:r w:rsidRPr="00E6009C">
        <w:rPr>
          <w:rFonts w:ascii="Times New Roman" w:hAnsi="Times New Roman"/>
        </w:rPr>
        <w:t>селлера</w:t>
      </w:r>
      <w:proofErr w:type="spellEnd"/>
      <w:r w:rsidRPr="00E6009C">
        <w:rPr>
          <w:rFonts w:ascii="Times New Roman" w:hAnsi="Times New Roman"/>
        </w:rPr>
        <w:t>, аудиторов.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lastRenderedPageBreak/>
        <w:t>Не поддержано большинством опрошенных участников ввиду сложности в формализации. Учет первых трех факторов потенциально может решить эту задачу объективными инструментами.</w:t>
      </w: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Доля месяцев низкого спроса: декабрь, январь, июль-август.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Не поддержано большинством опрошенных участников</w:t>
      </w: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Общий объем бюджета через НРА (+регионы)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Не поддержано большинством опрошенных участников</w:t>
      </w:r>
    </w:p>
    <w:p w:rsidR="005E1553" w:rsidRPr="00E6009C" w:rsidRDefault="005E1553" w:rsidP="005E15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Опираться не только на объем, но и на вклад тех параметров, за которые в этом году дают скидки. </w:t>
      </w:r>
    </w:p>
    <w:p w:rsidR="005E1553" w:rsidRPr="00E6009C" w:rsidRDefault="005E1553" w:rsidP="005E1553">
      <w:pPr>
        <w:pStyle w:val="a3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Не поддержано большинством опрошенных участников</w:t>
      </w:r>
    </w:p>
    <w:bookmarkEnd w:id="0"/>
    <w:p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РЕГИОНАЛЬНОЕ ТВ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При оценке бюджетов в региональном телеэфире (когда в каждом городе вещания выходит свой ролик) эксперты дают свои заключения по стоимости 1 GRP для каждого из 2</w:t>
      </w:r>
      <w:r w:rsidR="00E6009C" w:rsidRPr="00E6009C">
        <w:rPr>
          <w:rFonts w:ascii="Times New Roman" w:hAnsi="Times New Roman"/>
        </w:rPr>
        <w:t>7</w:t>
      </w:r>
      <w:r w:rsidRPr="00E6009C">
        <w:rPr>
          <w:rFonts w:ascii="Times New Roman" w:hAnsi="Times New Roman"/>
        </w:rPr>
        <w:t xml:space="preserve"> городов, где проводятся локальные телеизмерения. Для эфира Москвы и Санкт-Петербурга </w:t>
      </w:r>
      <w:r w:rsidR="00E6009C">
        <w:rPr>
          <w:rFonts w:ascii="Times New Roman" w:hAnsi="Times New Roman"/>
        </w:rPr>
        <w:t>производились</w:t>
      </w:r>
      <w:r w:rsidRPr="00E6009C">
        <w:rPr>
          <w:rFonts w:ascii="Times New Roman" w:hAnsi="Times New Roman"/>
        </w:rPr>
        <w:t xml:space="preserve"> отдельные расчеты, за основу которых </w:t>
      </w:r>
      <w:r w:rsidR="00E6009C">
        <w:rPr>
          <w:rFonts w:ascii="Times New Roman" w:hAnsi="Times New Roman"/>
        </w:rPr>
        <w:t>бралась</w:t>
      </w:r>
      <w:r w:rsidRPr="00E6009C">
        <w:rPr>
          <w:rFonts w:ascii="Times New Roman" w:hAnsi="Times New Roman"/>
        </w:rPr>
        <w:t xml:space="preserve"> средняя стоимость GRP, выведенная для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аудиторий. Учитыва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особенности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 xml:space="preserve">-слотах, а </w:t>
      </w:r>
      <w:proofErr w:type="gramStart"/>
      <w:r w:rsidRPr="00E6009C">
        <w:rPr>
          <w:rFonts w:ascii="Times New Roman" w:hAnsi="Times New Roman"/>
        </w:rPr>
        <w:t>так же</w:t>
      </w:r>
      <w:proofErr w:type="gramEnd"/>
      <w:r w:rsidRPr="00E6009C">
        <w:rPr>
          <w:rFonts w:ascii="Times New Roman" w:hAnsi="Times New Roman"/>
        </w:rPr>
        <w:t xml:space="preserve"> сезонные наценки.</w:t>
      </w:r>
    </w:p>
    <w:p w:rsidR="005E1553" w:rsidRPr="00E6009C" w:rsidRDefault="005E1553" w:rsidP="005E1553">
      <w:pPr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СПОНСОРСКОЕ ТВ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спонсорские бюджеты на ТВ, помимо заставок, включаются все попадающие в мониторинг интеграции. Для этого в рамках опроса выясняется стоимость присутствия брендов в контенте каналов. (когда продукт рекламируется в ходе передачи или иным образом интегрирован в контент), которая затем умножается на длительность демонстрации продукта по мониторингу. При оценке электронного спонсорства (заставки) для каждого телеканала в ходе опроса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экспертов </w:t>
      </w:r>
      <w:r w:rsidR="00E6009C">
        <w:rPr>
          <w:rFonts w:ascii="Times New Roman" w:hAnsi="Times New Roman"/>
        </w:rPr>
        <w:t>определялся</w:t>
      </w:r>
      <w:r w:rsidRPr="00E6009C">
        <w:rPr>
          <w:rFonts w:ascii="Times New Roman" w:hAnsi="Times New Roman"/>
        </w:rPr>
        <w:t xml:space="preserve"> коэффициент наценки стоимости спонсорской заставки к цене 1 GRP для каждой из групп рекламодателей. Учитыва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особенности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>-слотах, а также сезонные наценки.</w:t>
      </w:r>
    </w:p>
    <w:p w:rsidR="005E1553" w:rsidRPr="004608BF" w:rsidRDefault="005E1553" w:rsidP="005E1553">
      <w:pPr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НИШЕВОЕ ТВ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Бюджеты </w:t>
      </w:r>
      <w:proofErr w:type="spellStart"/>
      <w:r w:rsidRPr="00E6009C">
        <w:rPr>
          <w:rFonts w:ascii="Times New Roman" w:hAnsi="Times New Roman"/>
        </w:rPr>
        <w:t>неэфирных</w:t>
      </w:r>
      <w:proofErr w:type="spellEnd"/>
      <w:r w:rsidRPr="00E6009C">
        <w:rPr>
          <w:rFonts w:ascii="Times New Roman" w:hAnsi="Times New Roman"/>
        </w:rPr>
        <w:t xml:space="preserve"> телеканалов, распространяющихся через кабель и спутник,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две статистики. Пулы каналов, входящие в пакеты НРА и продаваемые по пунктам рейтинга (так называемые рекламные каналы), а также канал «Дом кино» и «Мульт»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экспертную стоимость 1 GRP. Бюджеты каналов, продаваемых по минутам, оценива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через полученную в ходе опроса среднюю стоимость одной минуты рекламы для всех попадающих в мониторинг вещателей. 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Учитыва</w:t>
      </w:r>
      <w:r w:rsidR="00E6009C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особенности размещения в </w:t>
      </w:r>
      <w:proofErr w:type="spellStart"/>
      <w:r w:rsidRPr="00E6009C">
        <w:rPr>
          <w:rFonts w:ascii="Times New Roman" w:hAnsi="Times New Roman"/>
        </w:rPr>
        <w:t>prime</w:t>
      </w:r>
      <w:proofErr w:type="spellEnd"/>
      <w:r w:rsidRPr="00E6009C">
        <w:rPr>
          <w:rFonts w:ascii="Times New Roman" w:hAnsi="Times New Roman"/>
        </w:rPr>
        <w:t xml:space="preserve"> и </w:t>
      </w:r>
      <w:proofErr w:type="spellStart"/>
      <w:r w:rsidRPr="00E6009C">
        <w:rPr>
          <w:rFonts w:ascii="Times New Roman" w:hAnsi="Times New Roman"/>
        </w:rPr>
        <w:t>offprime</w:t>
      </w:r>
      <w:proofErr w:type="spellEnd"/>
      <w:r w:rsidRPr="00E6009C">
        <w:rPr>
          <w:rFonts w:ascii="Times New Roman" w:hAnsi="Times New Roman"/>
        </w:rPr>
        <w:t>-слотах, а также сезонные наценки.</w:t>
      </w:r>
    </w:p>
    <w:p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РАДИО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При оценке бюджетов на региональное радио учитываются выходы рекламы в 12 городах, для каждого из которых определяется средняя стоимость одной минуты рекламы. Для локального эфира Москвы и Санкт-Петербурга размещение оценивается отдельно по радиостанциям. При подсчете расходов на сетевую радиорекламу этот показатель также варьируется для каждой станции.</w:t>
      </w:r>
    </w:p>
    <w:p w:rsidR="005E1553" w:rsidRPr="00E6009C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E6009C">
        <w:rPr>
          <w:rFonts w:ascii="Times New Roman" w:hAnsi="Times New Roman"/>
          <w:b/>
          <w:bCs/>
        </w:rPr>
        <w:t>ПРЕССА</w:t>
      </w:r>
    </w:p>
    <w:p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оценке расходов на центральную прессу к бюджетам, которые дает мониторинг, применяется среднерыночная скидка, которая высчитывается, исходя из экспертного опроса.  </w:t>
      </w:r>
    </w:p>
    <w:p w:rsidR="005E1553" w:rsidRPr="008B1145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8B1145">
        <w:rPr>
          <w:rFonts w:ascii="Times New Roman" w:hAnsi="Times New Roman"/>
          <w:b/>
          <w:bCs/>
        </w:rPr>
        <w:lastRenderedPageBreak/>
        <w:t>НАРУЖНАЯ РЕКЛАМА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Расходы на наружную рекламу по результатам мониторинга в 50 крупнейших городах традиционно предоставляет компания «ЭСПАР-Аналитик». Для каждого формата применяются коэффициенты, отражающие особенности размещения, отдельно по Москве и регионам. Эти данные запрашиваются в </w:t>
      </w:r>
      <w:proofErr w:type="spellStart"/>
      <w:r w:rsidRPr="00E6009C">
        <w:rPr>
          <w:rFonts w:ascii="Times New Roman" w:hAnsi="Times New Roman"/>
        </w:rPr>
        <w:t>баинговых</w:t>
      </w:r>
      <w:proofErr w:type="spellEnd"/>
      <w:r w:rsidRPr="00E6009C">
        <w:rPr>
          <w:rFonts w:ascii="Times New Roman" w:hAnsi="Times New Roman"/>
        </w:rPr>
        <w:t xml:space="preserve"> компаниях.</w:t>
      </w:r>
    </w:p>
    <w:p w:rsidR="005E1553" w:rsidRPr="004608BF" w:rsidRDefault="005E1553" w:rsidP="005E1553">
      <w:pPr>
        <w:spacing w:line="360" w:lineRule="auto"/>
        <w:contextualSpacing/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ИНТЕРНЕТ. МЕДИЙНАЯ РЕКЛАМА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Оцениваются </w:t>
      </w:r>
      <w:r w:rsidR="004608BF">
        <w:rPr>
          <w:rFonts w:ascii="Times New Roman" w:hAnsi="Times New Roman"/>
        </w:rPr>
        <w:t>б</w:t>
      </w:r>
      <w:r w:rsidRPr="00E6009C">
        <w:rPr>
          <w:rFonts w:ascii="Times New Roman" w:hAnsi="Times New Roman"/>
        </w:rPr>
        <w:t>юджеты на размещение десктопной баннерной рекламы.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Основа для расчета: количество дней размещения рекламы по данным </w:t>
      </w:r>
      <w:proofErr w:type="spellStart"/>
      <w:r w:rsidRPr="00E6009C">
        <w:rPr>
          <w:rFonts w:ascii="Times New Roman" w:hAnsi="Times New Roman"/>
        </w:rPr>
        <w:t>MediaScope</w:t>
      </w:r>
      <w:proofErr w:type="spellEnd"/>
      <w:r w:rsidRPr="00E6009C">
        <w:rPr>
          <w:rFonts w:ascii="Times New Roman" w:hAnsi="Times New Roman"/>
        </w:rPr>
        <w:t>.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Экспертная оценка (</w:t>
      </w:r>
      <w:proofErr w:type="spellStart"/>
      <w:r w:rsidRPr="00E6009C">
        <w:rPr>
          <w:rFonts w:ascii="Times New Roman" w:hAnsi="Times New Roman"/>
        </w:rPr>
        <w:t>баинговые</w:t>
      </w:r>
      <w:proofErr w:type="spellEnd"/>
      <w:r w:rsidRPr="00E6009C">
        <w:rPr>
          <w:rFonts w:ascii="Times New Roman" w:hAnsi="Times New Roman"/>
        </w:rPr>
        <w:t xml:space="preserve"> специалисты): среднедневная стоимость размещение одного бренда на площадке.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Подход: данные мониторинга умножаются на стоимость размещения на площадке. Без дифференциации стоимости в зависимости от типа закупки: прямое размещение, пакет, сети, </w:t>
      </w:r>
      <w:proofErr w:type="spellStart"/>
      <w:r w:rsidRPr="00E6009C">
        <w:rPr>
          <w:rFonts w:ascii="Times New Roman" w:hAnsi="Times New Roman"/>
        </w:rPr>
        <w:t>Programmatic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таргетинги</w:t>
      </w:r>
      <w:proofErr w:type="spellEnd"/>
      <w:r w:rsidRPr="00E6009C">
        <w:rPr>
          <w:rFonts w:ascii="Times New Roman" w:hAnsi="Times New Roman"/>
        </w:rPr>
        <w:t xml:space="preserve"> и др.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Площадки, по которым не </w:t>
      </w:r>
      <w:r w:rsidR="004608BF">
        <w:rPr>
          <w:rFonts w:ascii="Times New Roman" w:hAnsi="Times New Roman"/>
        </w:rPr>
        <w:t>было</w:t>
      </w:r>
      <w:r w:rsidRPr="00E6009C">
        <w:rPr>
          <w:rFonts w:ascii="Times New Roman" w:hAnsi="Times New Roman"/>
        </w:rPr>
        <w:t xml:space="preserve"> получено оценок </w:t>
      </w:r>
      <w:proofErr w:type="spellStart"/>
      <w:r w:rsidRPr="00E6009C">
        <w:rPr>
          <w:rFonts w:ascii="Times New Roman" w:hAnsi="Times New Roman"/>
        </w:rPr>
        <w:t>баинга</w:t>
      </w:r>
      <w:proofErr w:type="spellEnd"/>
      <w:r w:rsidRPr="00E6009C">
        <w:rPr>
          <w:rFonts w:ascii="Times New Roman" w:hAnsi="Times New Roman"/>
        </w:rPr>
        <w:t xml:space="preserve">, </w:t>
      </w:r>
      <w:r w:rsidR="004608BF">
        <w:rPr>
          <w:rFonts w:ascii="Times New Roman" w:hAnsi="Times New Roman"/>
        </w:rPr>
        <w:t>вошли в исследование с минимальной оценочной стоимостью</w:t>
      </w:r>
      <w:r w:rsidRPr="00E6009C">
        <w:rPr>
          <w:rFonts w:ascii="Times New Roman" w:hAnsi="Times New Roman"/>
        </w:rPr>
        <w:t>.</w:t>
      </w:r>
    </w:p>
    <w:p w:rsidR="005E1553" w:rsidRPr="004608BF" w:rsidRDefault="005E1553" w:rsidP="005E1553">
      <w:pPr>
        <w:rPr>
          <w:rFonts w:ascii="Times New Roman" w:hAnsi="Times New Roman"/>
          <w:b/>
          <w:bCs/>
        </w:rPr>
      </w:pPr>
      <w:r w:rsidRPr="004608BF">
        <w:rPr>
          <w:rFonts w:ascii="Times New Roman" w:hAnsi="Times New Roman"/>
          <w:b/>
          <w:bCs/>
        </w:rPr>
        <w:t>ИНТЕРНЕТ</w:t>
      </w:r>
      <w:r w:rsidR="001F4654">
        <w:rPr>
          <w:rFonts w:ascii="Times New Roman" w:hAnsi="Times New Roman"/>
          <w:b/>
          <w:bCs/>
        </w:rPr>
        <w:t xml:space="preserve">-БЮДЖЕТЫ НА ОСНОВЕ ДАННЫХ </w:t>
      </w:r>
      <w:r w:rsidR="001F4654" w:rsidRPr="001F4654">
        <w:rPr>
          <w:rFonts w:ascii="Times New Roman" w:hAnsi="Times New Roman"/>
          <w:b/>
          <w:bCs/>
        </w:rPr>
        <w:t>SIMILARWEB</w:t>
      </w:r>
    </w:p>
    <w:p w:rsidR="0030317A" w:rsidRPr="00E6009C" w:rsidRDefault="0030317A" w:rsidP="0030317A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Для целей данного исследования компания </w:t>
      </w:r>
      <w:proofErr w:type="spellStart"/>
      <w:r w:rsidRPr="00E6009C">
        <w:rPr>
          <w:rFonts w:ascii="Times New Roman" w:hAnsi="Times New Roman"/>
        </w:rPr>
        <w:t>DigitalBudget</w:t>
      </w:r>
      <w:proofErr w:type="spellEnd"/>
      <w:r w:rsidRPr="00E6009C">
        <w:rPr>
          <w:rFonts w:ascii="Times New Roman" w:hAnsi="Times New Roman"/>
        </w:rPr>
        <w:t xml:space="preserve"> провела</w:t>
      </w:r>
      <w:r>
        <w:rPr>
          <w:rFonts w:ascii="Times New Roman" w:hAnsi="Times New Roman"/>
        </w:rPr>
        <w:t xml:space="preserve"> в 2019 году</w:t>
      </w:r>
      <w:r w:rsidRPr="00E6009C">
        <w:rPr>
          <w:rFonts w:ascii="Times New Roman" w:hAnsi="Times New Roman"/>
        </w:rPr>
        <w:t xml:space="preserve"> первую </w:t>
      </w:r>
      <w:r>
        <w:rPr>
          <w:rFonts w:ascii="Times New Roman" w:hAnsi="Times New Roman"/>
        </w:rPr>
        <w:t xml:space="preserve">и единственную </w:t>
      </w:r>
      <w:r w:rsidRPr="00E6009C">
        <w:rPr>
          <w:rFonts w:ascii="Times New Roman" w:hAnsi="Times New Roman"/>
        </w:rPr>
        <w:t xml:space="preserve">в истории российской интернет-рекламы оценку бюджетов в </w:t>
      </w:r>
      <w:r w:rsidR="001F4654">
        <w:rPr>
          <w:rFonts w:ascii="Times New Roman" w:hAnsi="Times New Roman"/>
        </w:rPr>
        <w:t>интернет</w:t>
      </w:r>
      <w:r w:rsidRPr="00E6009C">
        <w:rPr>
          <w:rFonts w:ascii="Times New Roman" w:hAnsi="Times New Roman"/>
        </w:rPr>
        <w:t>-каналах, основанную на мониторинг</w:t>
      </w:r>
      <w:r w:rsidR="001F4654">
        <w:rPr>
          <w:rFonts w:ascii="Times New Roman" w:hAnsi="Times New Roman"/>
        </w:rPr>
        <w:t>е</w:t>
      </w:r>
      <w:r w:rsidRPr="00E6009C">
        <w:rPr>
          <w:rFonts w:ascii="Times New Roman" w:hAnsi="Times New Roman"/>
        </w:rPr>
        <w:t xml:space="preserve"> платформы </w:t>
      </w:r>
      <w:proofErr w:type="spell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>. Получ</w:t>
      </w:r>
      <w:r>
        <w:rPr>
          <w:rFonts w:ascii="Times New Roman" w:hAnsi="Times New Roman"/>
        </w:rPr>
        <w:t>ая</w:t>
      </w:r>
      <w:r w:rsidRPr="00E6009C">
        <w:rPr>
          <w:rFonts w:ascii="Times New Roman" w:hAnsi="Times New Roman"/>
        </w:rPr>
        <w:t xml:space="preserve"> из </w:t>
      </w:r>
      <w:proofErr w:type="spellStart"/>
      <w:proofErr w:type="gram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 xml:space="preserve">  данные</w:t>
      </w:r>
      <w:proofErr w:type="gramEnd"/>
      <w:r w:rsidRPr="00E6009C">
        <w:rPr>
          <w:rFonts w:ascii="Times New Roman" w:hAnsi="Times New Roman"/>
        </w:rPr>
        <w:t xml:space="preserve"> по числу визитов на сайты рекламодателей, поступающие из разных источников, </w:t>
      </w:r>
      <w:proofErr w:type="spellStart"/>
      <w:r w:rsidRPr="00E6009C">
        <w:rPr>
          <w:rFonts w:ascii="Times New Roman" w:hAnsi="Times New Roman"/>
        </w:rPr>
        <w:t>DigitalBudget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переаттрибутирует</w:t>
      </w:r>
      <w:proofErr w:type="spellEnd"/>
      <w:r w:rsidRPr="00E6009C">
        <w:rPr>
          <w:rFonts w:ascii="Times New Roman" w:hAnsi="Times New Roman"/>
        </w:rPr>
        <w:t xml:space="preserve"> виды трафика в релевантные исследованию сегменты. Например, к контекстной рекламе атрибутируется трафик, который в источнике отмечен как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 xml:space="preserve"> / </w:t>
      </w:r>
      <w:proofErr w:type="spellStart"/>
      <w:r w:rsidRPr="00E6009C">
        <w:rPr>
          <w:rFonts w:ascii="Times New Roman" w:hAnsi="Times New Roman"/>
        </w:rPr>
        <w:t>Paid</w:t>
      </w:r>
      <w:proofErr w:type="spellEnd"/>
      <w:r w:rsidRPr="00E6009C">
        <w:rPr>
          <w:rFonts w:ascii="Times New Roman" w:hAnsi="Times New Roman"/>
        </w:rPr>
        <w:t xml:space="preserve"> или имеет в названии доменов источников </w:t>
      </w:r>
      <w:proofErr w:type="spellStart"/>
      <w:r w:rsidRPr="00E6009C">
        <w:rPr>
          <w:rFonts w:ascii="Times New Roman" w:hAnsi="Times New Roman"/>
        </w:rPr>
        <w:t>url</w:t>
      </w:r>
      <w:proofErr w:type="spellEnd"/>
      <w:r w:rsidRPr="00E6009C">
        <w:rPr>
          <w:rFonts w:ascii="Times New Roman" w:hAnsi="Times New Roman"/>
        </w:rPr>
        <w:t xml:space="preserve"> поисковой системы и не отмечен параметром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>/</w:t>
      </w:r>
      <w:proofErr w:type="spellStart"/>
      <w:r w:rsidRPr="00E6009C">
        <w:rPr>
          <w:rFonts w:ascii="Times New Roman" w:hAnsi="Times New Roman"/>
        </w:rPr>
        <w:t>organic</w:t>
      </w:r>
      <w:proofErr w:type="spellEnd"/>
      <w:r w:rsidRPr="00E6009C">
        <w:rPr>
          <w:rFonts w:ascii="Times New Roman" w:hAnsi="Times New Roman"/>
        </w:rPr>
        <w:t xml:space="preserve">. </w:t>
      </w:r>
    </w:p>
    <w:p w:rsidR="0030317A" w:rsidRPr="0030317A" w:rsidRDefault="0030317A" w:rsidP="005E1553">
      <w:pPr>
        <w:ind w:right="1075"/>
        <w:rPr>
          <w:rFonts w:ascii="Times New Roman" w:hAnsi="Times New Roman"/>
          <w:b/>
          <w:bCs/>
        </w:rPr>
      </w:pPr>
      <w:r w:rsidRPr="0030317A">
        <w:rPr>
          <w:rFonts w:ascii="Times New Roman" w:hAnsi="Times New Roman"/>
          <w:b/>
          <w:bCs/>
        </w:rPr>
        <w:t>Подробнее об оценке</w:t>
      </w:r>
    </w:p>
    <w:p w:rsidR="005E1553" w:rsidRPr="00E6009C" w:rsidRDefault="005E1553" w:rsidP="005E1553">
      <w:pPr>
        <w:ind w:right="1075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Бюджеты оцениваются по трафику на доменные имена. </w:t>
      </w:r>
    </w:p>
    <w:p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Из </w:t>
      </w:r>
      <w:proofErr w:type="spellStart"/>
      <w:r w:rsidRPr="00E6009C">
        <w:rPr>
          <w:rFonts w:ascii="Times New Roman" w:hAnsi="Times New Roman"/>
        </w:rPr>
        <w:t>Similarweb</w:t>
      </w:r>
      <w:proofErr w:type="spellEnd"/>
      <w:r w:rsidRPr="00E6009C">
        <w:rPr>
          <w:rFonts w:ascii="Times New Roman" w:hAnsi="Times New Roman"/>
        </w:rPr>
        <w:t xml:space="preserve"> для каждого домена (бренда) экспортируются данные:</w:t>
      </w:r>
    </w:p>
    <w:p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Домен-источник трафика</w:t>
      </w:r>
    </w:p>
    <w:p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 w:rsidRPr="00E6009C">
        <w:rPr>
          <w:rFonts w:ascii="Times New Roman" w:hAnsi="Times New Roman"/>
        </w:rPr>
        <w:t>Тип</w:t>
      </w:r>
      <w:r w:rsidRPr="00E6009C">
        <w:rPr>
          <w:rFonts w:ascii="Times New Roman" w:hAnsi="Times New Roman"/>
          <w:lang w:val="en-US"/>
        </w:rPr>
        <w:t xml:space="preserve"> </w:t>
      </w:r>
      <w:r w:rsidRPr="00E6009C">
        <w:rPr>
          <w:rFonts w:ascii="Times New Roman" w:hAnsi="Times New Roman"/>
        </w:rPr>
        <w:t>источника</w:t>
      </w:r>
      <w:r w:rsidRPr="00E6009C">
        <w:rPr>
          <w:rFonts w:ascii="Times New Roman" w:hAnsi="Times New Roman"/>
          <w:lang w:val="en-US"/>
        </w:rPr>
        <w:t xml:space="preserve"> (Mobile Referral, Other, Unknown, Email, Channel, Mail, Social, Display Ad, Direct, Search / Organic, Search / Paid, Referral)</w:t>
      </w:r>
    </w:p>
    <w:p w:rsidR="005E1553" w:rsidRPr="00E6009C" w:rsidRDefault="005E1553" w:rsidP="005E155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Количество визитов на сайт бренда в изучаемый период</w:t>
      </w:r>
    </w:p>
    <w:p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рамках исследования проводится </w:t>
      </w:r>
      <w:proofErr w:type="spellStart"/>
      <w:r w:rsidRPr="00E6009C">
        <w:rPr>
          <w:rFonts w:ascii="Times New Roman" w:hAnsi="Times New Roman"/>
        </w:rPr>
        <w:t>переаттрибуция</w:t>
      </w:r>
      <w:proofErr w:type="spellEnd"/>
      <w:r w:rsidRPr="00E6009C">
        <w:rPr>
          <w:rFonts w:ascii="Times New Roman" w:hAnsi="Times New Roman"/>
        </w:rPr>
        <w:t xml:space="preserve"> трафика: </w:t>
      </w:r>
    </w:p>
    <w:p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К контекстной рекламе атрибутируется трафик, который отмечен </w:t>
      </w:r>
      <w:proofErr w:type="spellStart"/>
      <w:r w:rsidRPr="00E6009C">
        <w:rPr>
          <w:rFonts w:ascii="Times New Roman" w:hAnsi="Times New Roman"/>
        </w:rPr>
        <w:t>аттрибутами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 xml:space="preserve"> / </w:t>
      </w:r>
      <w:proofErr w:type="spellStart"/>
      <w:r w:rsidRPr="00E6009C">
        <w:rPr>
          <w:rFonts w:ascii="Times New Roman" w:hAnsi="Times New Roman"/>
        </w:rPr>
        <w:t>Paid</w:t>
      </w:r>
      <w:proofErr w:type="spellEnd"/>
      <w:r w:rsidRPr="00E6009C">
        <w:rPr>
          <w:rFonts w:ascii="Times New Roman" w:hAnsi="Times New Roman"/>
        </w:rPr>
        <w:t xml:space="preserve"> или имеет в названии доменов источников </w:t>
      </w:r>
      <w:proofErr w:type="spellStart"/>
      <w:r w:rsidRPr="00E6009C">
        <w:rPr>
          <w:rFonts w:ascii="Times New Roman" w:hAnsi="Times New Roman"/>
        </w:rPr>
        <w:t>url</w:t>
      </w:r>
      <w:proofErr w:type="spellEnd"/>
      <w:r w:rsidRPr="00E6009C">
        <w:rPr>
          <w:rFonts w:ascii="Times New Roman" w:hAnsi="Times New Roman"/>
        </w:rPr>
        <w:t xml:space="preserve"> поисковой системы и не отмечен параметром </w:t>
      </w:r>
      <w:proofErr w:type="spellStart"/>
      <w:r w:rsidRPr="00E6009C">
        <w:rPr>
          <w:rFonts w:ascii="Times New Roman" w:hAnsi="Times New Roman"/>
        </w:rPr>
        <w:t>search</w:t>
      </w:r>
      <w:proofErr w:type="spellEnd"/>
      <w:r w:rsidRPr="00E6009C">
        <w:rPr>
          <w:rFonts w:ascii="Times New Roman" w:hAnsi="Times New Roman"/>
        </w:rPr>
        <w:t>/</w:t>
      </w:r>
      <w:proofErr w:type="spellStart"/>
      <w:r w:rsidRPr="00E6009C">
        <w:rPr>
          <w:rFonts w:ascii="Times New Roman" w:hAnsi="Times New Roman"/>
        </w:rPr>
        <w:t>organic</w:t>
      </w:r>
      <w:proofErr w:type="spellEnd"/>
      <w:r w:rsidRPr="00E6009C">
        <w:rPr>
          <w:rFonts w:ascii="Times New Roman" w:hAnsi="Times New Roman"/>
        </w:rPr>
        <w:t>.</w:t>
      </w:r>
    </w:p>
    <w:p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К RTB-рекламе атрибутируется трафик, который отмечен </w:t>
      </w:r>
      <w:proofErr w:type="spellStart"/>
      <w:r w:rsidRPr="00E6009C">
        <w:rPr>
          <w:rFonts w:ascii="Times New Roman" w:hAnsi="Times New Roman"/>
        </w:rPr>
        <w:t>аттрибутами</w:t>
      </w:r>
      <w:proofErr w:type="spellEnd"/>
      <w:r w:rsidRPr="00E6009C">
        <w:rPr>
          <w:rFonts w:ascii="Times New Roman" w:hAnsi="Times New Roman"/>
        </w:rPr>
        <w:t xml:space="preserve"> «</w:t>
      </w:r>
      <w:proofErr w:type="spellStart"/>
      <w:r w:rsidRPr="00E6009C">
        <w:rPr>
          <w:rFonts w:ascii="Times New Roman" w:hAnsi="Times New Roman"/>
        </w:rPr>
        <w:t>Other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Unknown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Channel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display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r w:rsidRPr="00E6009C">
        <w:rPr>
          <w:rFonts w:ascii="Times New Roman" w:hAnsi="Times New Roman"/>
        </w:rPr>
        <w:t>referral</w:t>
      </w:r>
      <w:proofErr w:type="spellEnd"/>
      <w:r w:rsidRPr="00E6009C">
        <w:rPr>
          <w:rFonts w:ascii="Times New Roman" w:hAnsi="Times New Roman"/>
        </w:rPr>
        <w:t xml:space="preserve">, </w:t>
      </w:r>
      <w:proofErr w:type="spellStart"/>
      <w:proofErr w:type="gramStart"/>
      <w:r w:rsidRPr="00E6009C">
        <w:rPr>
          <w:rFonts w:ascii="Times New Roman" w:hAnsi="Times New Roman"/>
        </w:rPr>
        <w:t>mobile.refferal</w:t>
      </w:r>
      <w:proofErr w:type="spellEnd"/>
      <w:proofErr w:type="gramEnd"/>
      <w:r w:rsidRPr="00E6009C">
        <w:rPr>
          <w:rFonts w:ascii="Times New Roman" w:hAnsi="Times New Roman"/>
        </w:rPr>
        <w:t xml:space="preserve"> в случае если сайт-источник по контенту не совпадает с категорией рекламодателя.</w:t>
      </w:r>
    </w:p>
    <w:p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Также к RTB-рекламе относится трафик с сайтов, объем переходов по каждому из которых не превышает 1% от общего трафика сайта рекламодателя в рамках одного месяца.</w:t>
      </w:r>
    </w:p>
    <w:p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Из RTB-категории исключается трафик с доменов, принадлежащих крупным рекламным видео-сетям, таким как ГПМД, ВИДЕОСЕТЬ и СТС</w:t>
      </w:r>
    </w:p>
    <w:p w:rsidR="005E1553" w:rsidRPr="00E6009C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Сайты с видео-контентом не попадают в оценку как RTB, поскольку они относятся к категории OLV (</w:t>
      </w:r>
      <w:proofErr w:type="spellStart"/>
      <w:r w:rsidRPr="00E6009C">
        <w:rPr>
          <w:rFonts w:ascii="Times New Roman" w:hAnsi="Times New Roman"/>
        </w:rPr>
        <w:t>online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video</w:t>
      </w:r>
      <w:proofErr w:type="spellEnd"/>
      <w:r w:rsidRPr="00E6009C">
        <w:rPr>
          <w:rFonts w:ascii="Times New Roman" w:hAnsi="Times New Roman"/>
        </w:rPr>
        <w:t>)</w:t>
      </w:r>
    </w:p>
    <w:p w:rsidR="005E1553" w:rsidRDefault="005E1553" w:rsidP="005E1553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Трафик маркетплейсов не относится к брендам</w:t>
      </w:r>
    </w:p>
    <w:p w:rsidR="005F4ECC" w:rsidRPr="00BC4B75" w:rsidRDefault="005F4ECC" w:rsidP="00BC4B75">
      <w:pPr>
        <w:spacing w:after="0" w:line="240" w:lineRule="auto"/>
        <w:ind w:left="916"/>
        <w:jc w:val="both"/>
        <w:rPr>
          <w:rFonts w:ascii="Times New Roman" w:hAnsi="Times New Roman"/>
        </w:rPr>
      </w:pPr>
      <w:bookmarkStart w:id="1" w:name="_Hlk37860446"/>
      <w:bookmarkStart w:id="2" w:name="OLE_LINK5"/>
      <w:r w:rsidRPr="00BC4B75">
        <w:rPr>
          <w:rFonts w:ascii="Times New Roman" w:hAnsi="Times New Roman"/>
        </w:rPr>
        <w:lastRenderedPageBreak/>
        <w:t xml:space="preserve">Категория "средства массовой информации" из рейтинга </w:t>
      </w:r>
      <w:r w:rsidR="0099578F" w:rsidRPr="00BC4B75">
        <w:rPr>
          <w:rFonts w:ascii="Times New Roman" w:hAnsi="Times New Roman"/>
        </w:rPr>
        <w:t xml:space="preserve">исключена, поскольку оценить, сколько </w:t>
      </w:r>
      <w:r w:rsidRPr="00BC4B75">
        <w:rPr>
          <w:rFonts w:ascii="Times New Roman" w:hAnsi="Times New Roman"/>
        </w:rPr>
        <w:t>СМИ тратят на рекламу</w:t>
      </w:r>
      <w:r w:rsidR="0099578F" w:rsidRPr="00BC4B75">
        <w:rPr>
          <w:rFonts w:ascii="Times New Roman" w:hAnsi="Times New Roman"/>
        </w:rPr>
        <w:t xml:space="preserve"> (отделив бартер от коммерции), </w:t>
      </w:r>
      <w:r w:rsidRPr="00BC4B75">
        <w:rPr>
          <w:rFonts w:ascii="Times New Roman" w:hAnsi="Times New Roman"/>
        </w:rPr>
        <w:t>методологически невозможно</w:t>
      </w:r>
    </w:p>
    <w:bookmarkEnd w:id="1"/>
    <w:bookmarkEnd w:id="2"/>
    <w:p w:rsidR="005F4ECC" w:rsidRPr="005F4ECC" w:rsidRDefault="005F4ECC" w:rsidP="0099578F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/>
        </w:rPr>
      </w:pPr>
      <w:r w:rsidRPr="005F4ECC">
        <w:rPr>
          <w:rFonts w:ascii="Times New Roman" w:hAnsi="Times New Roman"/>
        </w:rPr>
        <w:t xml:space="preserve">В категории "Услуги Связи" канал </w:t>
      </w:r>
      <w:proofErr w:type="spellStart"/>
      <w:r w:rsidRPr="005F4ECC">
        <w:rPr>
          <w:rFonts w:ascii="Times New Roman" w:hAnsi="Times New Roman"/>
        </w:rPr>
        <w:t>Online</w:t>
      </w:r>
      <w:proofErr w:type="spellEnd"/>
      <w:r w:rsidR="0099578F">
        <w:rPr>
          <w:rFonts w:ascii="Times New Roman" w:hAnsi="Times New Roman"/>
        </w:rPr>
        <w:t xml:space="preserve"> </w:t>
      </w:r>
      <w:proofErr w:type="spellStart"/>
      <w:r w:rsidRPr="005F4ECC">
        <w:rPr>
          <w:rFonts w:ascii="Times New Roman" w:hAnsi="Times New Roman"/>
        </w:rPr>
        <w:t>Video</w:t>
      </w:r>
      <w:proofErr w:type="spellEnd"/>
      <w:r w:rsidRPr="005F4ECC">
        <w:rPr>
          <w:rFonts w:ascii="Times New Roman" w:hAnsi="Times New Roman"/>
        </w:rPr>
        <w:t xml:space="preserve"> из рейтинга </w:t>
      </w:r>
      <w:r w:rsidR="0099578F">
        <w:rPr>
          <w:rFonts w:ascii="Times New Roman" w:hAnsi="Times New Roman"/>
        </w:rPr>
        <w:t>исключен, поскольку</w:t>
      </w:r>
      <w:r w:rsidRPr="005F4ECC">
        <w:rPr>
          <w:rFonts w:ascii="Times New Roman" w:hAnsi="Times New Roman"/>
        </w:rPr>
        <w:t xml:space="preserve"> большой объем связан с трафиком на YOUTUBE, который</w:t>
      </w:r>
      <w:r w:rsidR="0099578F">
        <w:rPr>
          <w:rFonts w:ascii="Times New Roman" w:hAnsi="Times New Roman"/>
        </w:rPr>
        <w:t xml:space="preserve"> </w:t>
      </w:r>
      <w:r w:rsidRPr="005F4ECC">
        <w:rPr>
          <w:rFonts w:ascii="Times New Roman" w:hAnsi="Times New Roman"/>
        </w:rPr>
        <w:t>частично органический</w:t>
      </w:r>
      <w:r w:rsidR="0099578F">
        <w:rPr>
          <w:rFonts w:ascii="Times New Roman" w:hAnsi="Times New Roman"/>
        </w:rPr>
        <w:t>.</w:t>
      </w:r>
    </w:p>
    <w:p w:rsidR="005F4ECC" w:rsidRPr="00E226B3" w:rsidRDefault="0099578F" w:rsidP="00E226B3">
      <w:pPr>
        <w:spacing w:after="0" w:line="240" w:lineRule="auto"/>
        <w:ind w:left="916"/>
        <w:jc w:val="both"/>
        <w:rPr>
          <w:rFonts w:ascii="Times New Roman" w:hAnsi="Times New Roman"/>
        </w:rPr>
      </w:pPr>
      <w:bookmarkStart w:id="3" w:name="_Hlk37664964"/>
      <w:bookmarkStart w:id="4" w:name="OLE_LINK8"/>
      <w:r w:rsidRPr="00E226B3">
        <w:rPr>
          <w:rFonts w:ascii="Times New Roman" w:hAnsi="Times New Roman"/>
        </w:rPr>
        <w:t>К</w:t>
      </w:r>
      <w:r w:rsidR="005F4ECC" w:rsidRPr="00E226B3">
        <w:rPr>
          <w:rFonts w:ascii="Times New Roman" w:hAnsi="Times New Roman"/>
        </w:rPr>
        <w:t>атегори</w:t>
      </w:r>
      <w:r w:rsidRPr="00E226B3">
        <w:rPr>
          <w:rFonts w:ascii="Times New Roman" w:hAnsi="Times New Roman"/>
        </w:rPr>
        <w:t>я</w:t>
      </w:r>
      <w:r w:rsidR="005F4ECC" w:rsidRPr="00E226B3">
        <w:rPr>
          <w:rFonts w:ascii="Times New Roman" w:hAnsi="Times New Roman"/>
        </w:rPr>
        <w:t xml:space="preserve"> </w:t>
      </w:r>
      <w:r w:rsidRPr="00E226B3">
        <w:rPr>
          <w:rFonts w:ascii="Times New Roman" w:hAnsi="Times New Roman"/>
        </w:rPr>
        <w:t>«У</w:t>
      </w:r>
      <w:r w:rsidR="005F4ECC" w:rsidRPr="00E226B3">
        <w:rPr>
          <w:rFonts w:ascii="Times New Roman" w:hAnsi="Times New Roman"/>
        </w:rPr>
        <w:t>слуги в области интернета</w:t>
      </w:r>
      <w:r w:rsidRPr="00E226B3">
        <w:rPr>
          <w:rFonts w:ascii="Times New Roman" w:hAnsi="Times New Roman"/>
        </w:rPr>
        <w:t>»</w:t>
      </w:r>
      <w:r w:rsidR="005F4ECC" w:rsidRPr="00E226B3">
        <w:rPr>
          <w:rFonts w:ascii="Times New Roman" w:hAnsi="Times New Roman"/>
        </w:rPr>
        <w:t xml:space="preserve"> из рейтинга </w:t>
      </w:r>
      <w:r w:rsidRPr="00E226B3">
        <w:rPr>
          <w:rFonts w:ascii="Times New Roman" w:hAnsi="Times New Roman"/>
        </w:rPr>
        <w:t xml:space="preserve">исключена, </w:t>
      </w:r>
      <w:bookmarkStart w:id="5" w:name="_Hlk37860411"/>
      <w:r w:rsidRPr="00E226B3">
        <w:rPr>
          <w:rFonts w:ascii="Times New Roman" w:hAnsi="Times New Roman"/>
        </w:rPr>
        <w:t>поскольку</w:t>
      </w:r>
      <w:r w:rsidR="005F4ECC" w:rsidRPr="00E226B3">
        <w:rPr>
          <w:rFonts w:ascii="Times New Roman" w:hAnsi="Times New Roman"/>
        </w:rPr>
        <w:t xml:space="preserve"> входящи</w:t>
      </w:r>
      <w:r w:rsidRPr="00E226B3">
        <w:rPr>
          <w:rFonts w:ascii="Times New Roman" w:hAnsi="Times New Roman"/>
        </w:rPr>
        <w:t>й</w:t>
      </w:r>
      <w:r w:rsidR="005F4ECC" w:rsidRPr="00E226B3">
        <w:rPr>
          <w:rFonts w:ascii="Times New Roman" w:hAnsi="Times New Roman"/>
        </w:rPr>
        <w:t xml:space="preserve"> трафик на крупнейшие интернет-порталы не является коммерческим</w:t>
      </w:r>
      <w:r w:rsidRPr="00E226B3">
        <w:rPr>
          <w:rFonts w:ascii="Times New Roman" w:hAnsi="Times New Roman"/>
        </w:rPr>
        <w:t>.</w:t>
      </w:r>
      <w:bookmarkEnd w:id="5"/>
    </w:p>
    <w:p w:rsidR="005F4ECC" w:rsidRDefault="0099578F" w:rsidP="0099578F">
      <w:pPr>
        <w:pStyle w:val="a3"/>
        <w:numPr>
          <w:ilvl w:val="0"/>
          <w:numId w:val="9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</w:rPr>
      </w:pPr>
      <w:bookmarkStart w:id="6" w:name="OLE_LINK3"/>
      <w:bookmarkEnd w:id="3"/>
      <w:bookmarkEnd w:id="4"/>
      <w:r>
        <w:rPr>
          <w:rFonts w:ascii="Times New Roman" w:hAnsi="Times New Roman"/>
        </w:rPr>
        <w:t>К</w:t>
      </w:r>
      <w:r w:rsidRPr="005F4ECC">
        <w:rPr>
          <w:rFonts w:ascii="Times New Roman" w:hAnsi="Times New Roman"/>
        </w:rPr>
        <w:t>атегори</w:t>
      </w:r>
      <w:r>
        <w:rPr>
          <w:rFonts w:ascii="Times New Roman" w:hAnsi="Times New Roman"/>
        </w:rPr>
        <w:t>я</w:t>
      </w:r>
      <w:r w:rsidRPr="005F4E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«У</w:t>
      </w:r>
      <w:r w:rsidRPr="005F4ECC">
        <w:rPr>
          <w:rFonts w:ascii="Times New Roman" w:hAnsi="Times New Roman"/>
        </w:rPr>
        <w:t>слуги в системе образования и трудоустройств</w:t>
      </w:r>
      <w:r>
        <w:rPr>
          <w:rFonts w:ascii="Times New Roman" w:hAnsi="Times New Roman"/>
        </w:rPr>
        <w:t>а»</w:t>
      </w:r>
      <w:r w:rsidRPr="005F4ECC">
        <w:rPr>
          <w:rFonts w:ascii="Times New Roman" w:hAnsi="Times New Roman"/>
        </w:rPr>
        <w:t xml:space="preserve"> </w:t>
      </w:r>
      <w:r w:rsidR="005F4ECC" w:rsidRPr="005F4ECC">
        <w:rPr>
          <w:rFonts w:ascii="Times New Roman" w:hAnsi="Times New Roman"/>
        </w:rPr>
        <w:t xml:space="preserve">из рейтинга </w:t>
      </w:r>
      <w:r>
        <w:rPr>
          <w:rFonts w:ascii="Times New Roman" w:hAnsi="Times New Roman"/>
        </w:rPr>
        <w:t xml:space="preserve">исключена, поскольку </w:t>
      </w:r>
      <w:r w:rsidR="005F4ECC" w:rsidRPr="005F4ECC">
        <w:rPr>
          <w:rFonts w:ascii="Times New Roman" w:hAnsi="Times New Roman"/>
        </w:rPr>
        <w:t>структура трафика связана с органическим приходом пользователей через сторонние сервисы, а также с размещением внутренней рек</w:t>
      </w:r>
      <w:bookmarkStart w:id="7" w:name="_GoBack"/>
      <w:bookmarkEnd w:id="7"/>
      <w:r w:rsidR="005F4ECC" w:rsidRPr="005F4ECC">
        <w:rPr>
          <w:rFonts w:ascii="Times New Roman" w:hAnsi="Times New Roman"/>
        </w:rPr>
        <w:t xml:space="preserve">ламы от малого бизнеса на платформе. </w:t>
      </w:r>
      <w:r>
        <w:rPr>
          <w:rFonts w:ascii="Times New Roman" w:hAnsi="Times New Roman"/>
        </w:rPr>
        <w:t>Такой</w:t>
      </w:r>
      <w:r w:rsidR="005F4ECC" w:rsidRPr="005F4ECC">
        <w:rPr>
          <w:rFonts w:ascii="Times New Roman" w:hAnsi="Times New Roman"/>
        </w:rPr>
        <w:t xml:space="preserve"> трафик невозмо</w:t>
      </w:r>
      <w:r>
        <w:rPr>
          <w:rFonts w:ascii="Times New Roman" w:hAnsi="Times New Roman"/>
        </w:rPr>
        <w:t>ж</w:t>
      </w:r>
      <w:r w:rsidR="005F4ECC" w:rsidRPr="005F4ECC">
        <w:rPr>
          <w:rFonts w:ascii="Times New Roman" w:hAnsi="Times New Roman"/>
        </w:rPr>
        <w:t>но отделить от рекламного трафика платформ</w:t>
      </w:r>
      <w:r>
        <w:rPr>
          <w:rFonts w:ascii="Times New Roman" w:hAnsi="Times New Roman"/>
        </w:rPr>
        <w:t>.</w:t>
      </w:r>
    </w:p>
    <w:p w:rsidR="009365E5" w:rsidRPr="00EB08FF" w:rsidRDefault="009365E5" w:rsidP="00EB08FF">
      <w:pPr>
        <w:spacing w:after="0" w:line="240" w:lineRule="auto"/>
        <w:ind w:left="916"/>
        <w:jc w:val="both"/>
        <w:rPr>
          <w:rFonts w:ascii="Times New Roman" w:hAnsi="Times New Roman"/>
        </w:rPr>
      </w:pPr>
      <w:bookmarkStart w:id="8" w:name="_Hlk37664671"/>
      <w:bookmarkStart w:id="9" w:name="OLE_LINK1"/>
      <w:bookmarkStart w:id="10" w:name="OLE_LINK2"/>
      <w:bookmarkStart w:id="11" w:name="OLE_LINK4"/>
      <w:bookmarkStart w:id="12" w:name="OLE_LINK6"/>
      <w:bookmarkStart w:id="13" w:name="OLE_LINK7"/>
      <w:bookmarkStart w:id="14" w:name="OLE_LINK9"/>
      <w:bookmarkStart w:id="15" w:name="OLE_LINK10"/>
      <w:bookmarkStart w:id="16" w:name="OLE_LINK11"/>
      <w:bookmarkStart w:id="17" w:name="OLE_LINK12"/>
      <w:bookmarkStart w:id="18" w:name="OLE_LINK13"/>
      <w:bookmarkEnd w:id="6"/>
      <w:r w:rsidRPr="00EB08FF">
        <w:rPr>
          <w:rFonts w:ascii="Times New Roman" w:hAnsi="Times New Roman"/>
        </w:rPr>
        <w:t>Категория «Услуги в области торговли» не вошла в оценку, из-за невозможности методологического отделения бюджета магазина от вендоров.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5E1553" w:rsidRPr="00E6009C" w:rsidRDefault="005E1553" w:rsidP="0099578F">
      <w:pPr>
        <w:pStyle w:val="a3"/>
        <w:numPr>
          <w:ilvl w:val="0"/>
          <w:numId w:val="7"/>
        </w:numPr>
        <w:spacing w:after="0" w:line="240" w:lineRule="auto"/>
        <w:ind w:left="709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К разным категориям брендов применяются дифференцированные ограничения:</w:t>
      </w:r>
    </w:p>
    <w:p w:rsidR="005E1553" w:rsidRPr="00E6009C" w:rsidRDefault="005E1553" w:rsidP="0099578F">
      <w:pPr>
        <w:pStyle w:val="a3"/>
        <w:numPr>
          <w:ilvl w:val="0"/>
          <w:numId w:val="10"/>
        </w:numPr>
        <w:spacing w:after="0" w:line="240" w:lineRule="auto"/>
        <w:ind w:left="1276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Трафик с топовых доменов (</w:t>
      </w:r>
      <w:proofErr w:type="spellStart"/>
      <w:r w:rsidRPr="00E6009C">
        <w:rPr>
          <w:rFonts w:ascii="Times New Roman" w:hAnsi="Times New Roman"/>
        </w:rPr>
        <w:t>Yandex</w:t>
      </w:r>
      <w:proofErr w:type="spellEnd"/>
      <w:r w:rsidRPr="00E6009C">
        <w:rPr>
          <w:rFonts w:ascii="Times New Roman" w:hAnsi="Times New Roman"/>
        </w:rPr>
        <w:t xml:space="preserve">, Rambler.ru и другие), с типом </w:t>
      </w:r>
      <w:proofErr w:type="spellStart"/>
      <w:r w:rsidRPr="00E6009C">
        <w:rPr>
          <w:rFonts w:ascii="Times New Roman" w:hAnsi="Times New Roman"/>
        </w:rPr>
        <w:t>Referral</w:t>
      </w:r>
      <w:proofErr w:type="spellEnd"/>
      <w:r w:rsidRPr="00E6009C">
        <w:rPr>
          <w:rFonts w:ascii="Times New Roman" w:hAnsi="Times New Roman"/>
        </w:rPr>
        <w:t xml:space="preserve"> всегда относится к RTB.</w:t>
      </w:r>
    </w:p>
    <w:p w:rsidR="005E1553" w:rsidRPr="00E6009C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Оценка бюджетов размещения для каждого из брендов происходит на основе следующих данных:</w:t>
      </w:r>
    </w:p>
    <w:p w:rsidR="005E1553" w:rsidRPr="00E6009C" w:rsidRDefault="00EC0E43" w:rsidP="005E1553">
      <w:pPr>
        <w:pStyle w:val="a3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Среднегодовые с</w:t>
      </w:r>
      <w:r w:rsidR="005E1553" w:rsidRPr="00E6009C">
        <w:rPr>
          <w:rFonts w:ascii="Times New Roman" w:hAnsi="Times New Roman"/>
        </w:rPr>
        <w:t xml:space="preserve">тавки для </w:t>
      </w:r>
      <w:proofErr w:type="spellStart"/>
      <w:r w:rsidR="005E1553" w:rsidRPr="00E6009C">
        <w:rPr>
          <w:rFonts w:ascii="Times New Roman" w:hAnsi="Times New Roman"/>
        </w:rPr>
        <w:t>Google</w:t>
      </w:r>
      <w:proofErr w:type="spellEnd"/>
      <w:r w:rsidR="005E1553" w:rsidRPr="00E60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proofErr w:type="spellStart"/>
      <w:r w:rsidRPr="00E6009C">
        <w:rPr>
          <w:rFonts w:ascii="Times New Roman" w:hAnsi="Times New Roman"/>
        </w:rPr>
        <w:t>Yandex</w:t>
      </w:r>
      <w:proofErr w:type="spellEnd"/>
      <w:r>
        <w:rPr>
          <w:rFonts w:ascii="Times New Roman" w:hAnsi="Times New Roman"/>
        </w:rPr>
        <w:t>, а также</w:t>
      </w:r>
      <w:r w:rsidR="005E1553" w:rsidRPr="00E6009C">
        <w:rPr>
          <w:rFonts w:ascii="Times New Roman" w:hAnsi="Times New Roman"/>
        </w:rPr>
        <w:t xml:space="preserve"> процент </w:t>
      </w:r>
      <w:proofErr w:type="spellStart"/>
      <w:r w:rsidR="005E1553" w:rsidRPr="00E6009C">
        <w:rPr>
          <w:rFonts w:ascii="Times New Roman" w:hAnsi="Times New Roman"/>
        </w:rPr>
        <w:t>доходимости</w:t>
      </w:r>
      <w:proofErr w:type="spellEnd"/>
      <w:r w:rsidR="005E1553" w:rsidRPr="00E6009C">
        <w:rPr>
          <w:rFonts w:ascii="Times New Roman" w:hAnsi="Times New Roman"/>
        </w:rPr>
        <w:t xml:space="preserve"> предоставляются экспертным советом, в который входят представители крупных агентств, занимающихся контекстной рекламой.</w:t>
      </w:r>
    </w:p>
    <w:p w:rsidR="005E1553" w:rsidRPr="00E6009C" w:rsidRDefault="005E1553" w:rsidP="005E1553">
      <w:pPr>
        <w:pStyle w:val="a3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Стоимость «визита» для </w:t>
      </w:r>
      <w:proofErr w:type="spellStart"/>
      <w:r w:rsidRPr="00E6009C">
        <w:rPr>
          <w:rFonts w:ascii="Times New Roman" w:hAnsi="Times New Roman"/>
        </w:rPr>
        <w:t>programmatic</w:t>
      </w:r>
      <w:proofErr w:type="spellEnd"/>
      <w:r w:rsidRPr="00E6009C">
        <w:rPr>
          <w:rFonts w:ascii="Times New Roman" w:hAnsi="Times New Roman"/>
        </w:rPr>
        <w:t xml:space="preserve"> рекламы по всем товарным категориям предоставляется экспертами </w:t>
      </w:r>
      <w:proofErr w:type="spellStart"/>
      <w:r w:rsidRPr="00E6009C">
        <w:rPr>
          <w:rFonts w:ascii="Times New Roman" w:hAnsi="Times New Roman"/>
        </w:rPr>
        <w:t>Digital</w:t>
      </w:r>
      <w:proofErr w:type="spellEnd"/>
      <w:r w:rsidRPr="00E6009C">
        <w:rPr>
          <w:rFonts w:ascii="Times New Roman" w:hAnsi="Times New Roman"/>
        </w:rPr>
        <w:t xml:space="preserve"> </w:t>
      </w:r>
      <w:proofErr w:type="spellStart"/>
      <w:r w:rsidRPr="00E6009C">
        <w:rPr>
          <w:rFonts w:ascii="Times New Roman" w:hAnsi="Times New Roman"/>
        </w:rPr>
        <w:t>Budget</w:t>
      </w:r>
      <w:proofErr w:type="spellEnd"/>
      <w:r w:rsidRPr="00E6009C">
        <w:rPr>
          <w:rFonts w:ascii="Times New Roman" w:hAnsi="Times New Roman"/>
        </w:rPr>
        <w:t>.</w:t>
      </w:r>
    </w:p>
    <w:p w:rsidR="005E1553" w:rsidRDefault="005E1553" w:rsidP="005E1553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Финальная формула оборота рекламодателя имеет вид: </w:t>
      </w:r>
    </w:p>
    <w:p w:rsid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</w:p>
    <w:p w:rsid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  <w:r w:rsidRPr="001C307B">
        <w:rPr>
          <w:rFonts w:ascii="Times New Roman" w:hAnsi="Times New Roman"/>
        </w:rPr>
        <w:t>Сумма оборотов по всем доменам рекламодателя</w:t>
      </w:r>
      <w:r>
        <w:rPr>
          <w:rFonts w:ascii="Times New Roman" w:hAnsi="Times New Roman"/>
        </w:rPr>
        <w:t>, где:</w:t>
      </w:r>
    </w:p>
    <w:p w:rsidR="001C307B" w:rsidRPr="001C307B" w:rsidRDefault="001C307B" w:rsidP="001C307B">
      <w:pPr>
        <w:pStyle w:val="a3"/>
        <w:spacing w:after="0" w:line="240" w:lineRule="auto"/>
        <w:contextualSpacing w:val="0"/>
        <w:rPr>
          <w:rFonts w:ascii="Times New Roman" w:hAnsi="Times New Roman"/>
        </w:rPr>
      </w:pP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>Оборот по каждому домену для контекстной рекламы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из платного поиска </w:t>
      </w:r>
      <w:proofErr w:type="spell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/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Конверсия</w:t>
      </w:r>
      <w:proofErr w:type="gramEnd"/>
      <w:r w:rsidRPr="001C307B">
        <w:rPr>
          <w:rFonts w:ascii="Times New Roman" w:hAnsi="Times New Roman"/>
        </w:rPr>
        <w:t xml:space="preserve"> из кликов в заходы от </w:t>
      </w:r>
      <w:proofErr w:type="spell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 &lt;Ставка по категории домена от </w:t>
      </w:r>
      <w:proofErr w:type="spellStart"/>
      <w:proofErr w:type="gramStart"/>
      <w:r w:rsidRPr="001C307B">
        <w:rPr>
          <w:rFonts w:ascii="Times New Roman" w:hAnsi="Times New Roman"/>
        </w:rPr>
        <w:t>Yandex</w:t>
      </w:r>
      <w:proofErr w:type="spellEnd"/>
      <w:r w:rsidRPr="001C307B">
        <w:rPr>
          <w:rFonts w:ascii="Times New Roman" w:hAnsi="Times New Roman"/>
        </w:rPr>
        <w:t xml:space="preserve"> &gt;</w:t>
      </w:r>
      <w:proofErr w:type="gramEnd"/>
      <w:r w:rsidRPr="001C307B">
        <w:rPr>
          <w:rFonts w:ascii="Times New Roman" w:hAnsi="Times New Roman"/>
        </w:rPr>
        <w:t xml:space="preserve">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  <w:sz w:val="32"/>
        </w:rPr>
        <w:t>+</w:t>
      </w:r>
      <w:r w:rsidRPr="001C307B">
        <w:rPr>
          <w:rFonts w:ascii="Times New Roman" w:hAnsi="Times New Roman"/>
          <w:b/>
        </w:rPr>
        <w:t xml:space="preserve">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из платного поиска </w:t>
      </w:r>
      <w:proofErr w:type="spellStart"/>
      <w:r w:rsidRPr="001C307B">
        <w:rPr>
          <w:rFonts w:ascii="Times New Roman" w:hAnsi="Times New Roman"/>
        </w:rPr>
        <w:t>Google</w:t>
      </w:r>
      <w:proofErr w:type="spellEnd"/>
      <w:r w:rsidRPr="001C307B">
        <w:rPr>
          <w:rFonts w:ascii="Times New Roman" w:hAnsi="Times New Roman"/>
        </w:rPr>
        <w:t xml:space="preserve"> &gt;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/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Конверсия</w:t>
      </w:r>
      <w:proofErr w:type="gramEnd"/>
      <w:r w:rsidRPr="001C307B">
        <w:rPr>
          <w:rFonts w:ascii="Times New Roman" w:hAnsi="Times New Roman"/>
        </w:rPr>
        <w:t xml:space="preserve"> из кликов в заходы от </w:t>
      </w:r>
      <w:proofErr w:type="spellStart"/>
      <w:r w:rsidRPr="001C307B">
        <w:rPr>
          <w:rFonts w:ascii="Times New Roman" w:hAnsi="Times New Roman"/>
        </w:rPr>
        <w:t>Google</w:t>
      </w:r>
      <w:proofErr w:type="spellEnd"/>
      <w:r w:rsidRPr="001C307B">
        <w:rPr>
          <w:rFonts w:ascii="Times New Roman" w:hAnsi="Times New Roman"/>
        </w:rPr>
        <w:t xml:space="preserve"> &gt;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* 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 xml:space="preserve">&lt;Ставка по категории домена от </w:t>
      </w:r>
      <w:proofErr w:type="spellStart"/>
      <w:proofErr w:type="gramStart"/>
      <w:r w:rsidRPr="001C307B">
        <w:rPr>
          <w:rFonts w:ascii="Times New Roman" w:hAnsi="Times New Roman"/>
        </w:rPr>
        <w:t>Google</w:t>
      </w:r>
      <w:proofErr w:type="spellEnd"/>
      <w:r w:rsidRPr="001C307B">
        <w:rPr>
          <w:rFonts w:ascii="Times New Roman" w:hAnsi="Times New Roman"/>
        </w:rPr>
        <w:t xml:space="preserve"> &gt;</w:t>
      </w:r>
      <w:proofErr w:type="gramEnd"/>
    </w:p>
    <w:p w:rsidR="001C307B" w:rsidRPr="001C307B" w:rsidRDefault="001C307B" w:rsidP="00A7610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 xml:space="preserve">Оборот по каждому домену для </w:t>
      </w:r>
      <w:proofErr w:type="spellStart"/>
      <w:r w:rsidRPr="001C307B">
        <w:rPr>
          <w:rFonts w:ascii="Times New Roman" w:hAnsi="Times New Roman"/>
          <w:b/>
        </w:rPr>
        <w:t>programmatic</w:t>
      </w:r>
      <w:proofErr w:type="spellEnd"/>
      <w:r w:rsidRPr="001C307B">
        <w:rPr>
          <w:rFonts w:ascii="Times New Roman" w:hAnsi="Times New Roman"/>
          <w:b/>
        </w:rPr>
        <w:t xml:space="preserve"> рекламы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в </w:t>
      </w:r>
      <w:proofErr w:type="spellStart"/>
      <w:r w:rsidRPr="001C307B">
        <w:rPr>
          <w:rFonts w:ascii="Times New Roman" w:hAnsi="Times New Roman"/>
        </w:rPr>
        <w:t>desktop</w:t>
      </w:r>
      <w:proofErr w:type="spellEnd"/>
      <w:r w:rsidRPr="001C307B">
        <w:rPr>
          <w:rFonts w:ascii="Times New Roman" w:hAnsi="Times New Roman"/>
        </w:rPr>
        <w:t xml:space="preserve"> + </w:t>
      </w:r>
      <w:proofErr w:type="spellStart"/>
      <w:r w:rsidRPr="001C307B">
        <w:rPr>
          <w:rFonts w:ascii="Times New Roman" w:hAnsi="Times New Roman"/>
        </w:rPr>
        <w:t>mobile</w:t>
      </w:r>
      <w:proofErr w:type="spellEnd"/>
      <w:r w:rsidRPr="001C307B">
        <w:rPr>
          <w:rFonts w:ascii="Times New Roman" w:hAnsi="Times New Roman"/>
        </w:rPr>
        <w:t xml:space="preserve">, отнесенные к категории </w:t>
      </w:r>
      <w:proofErr w:type="spellStart"/>
      <w:r w:rsidRPr="001C307B">
        <w:rPr>
          <w:rFonts w:ascii="Times New Roman" w:hAnsi="Times New Roman"/>
        </w:rPr>
        <w:t>programmatic</w:t>
      </w:r>
      <w:proofErr w:type="spellEnd"/>
      <w:r w:rsidRPr="001C307B">
        <w:rPr>
          <w:rFonts w:ascii="Times New Roman" w:hAnsi="Times New Roman"/>
        </w:rPr>
        <w:t xml:space="preserve"> &gt;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:rsidR="001C307B" w:rsidRPr="000E2FDD" w:rsidRDefault="001C307B" w:rsidP="00A7610C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E2FDD">
        <w:rPr>
          <w:rFonts w:ascii="Times New Roman" w:hAnsi="Times New Roman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 w:rsidRPr="000E2FDD">
        <w:rPr>
          <w:rFonts w:ascii="Times New Roman" w:hAnsi="Times New Roman"/>
          <w:sz w:val="20"/>
          <w:szCs w:val="20"/>
        </w:rPr>
        <w:t>desktop</w:t>
      </w:r>
      <w:proofErr w:type="spellEnd"/>
      <w:r w:rsidRPr="000E2FDD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0E2FDD">
        <w:rPr>
          <w:rFonts w:ascii="Times New Roman" w:hAnsi="Times New Roman"/>
          <w:sz w:val="20"/>
          <w:szCs w:val="20"/>
        </w:rPr>
        <w:t>mobile</w:t>
      </w:r>
      <w:proofErr w:type="spellEnd"/>
      <w:proofErr w:type="gramStart"/>
      <w:r w:rsidRPr="000E2FDD">
        <w:rPr>
          <w:rFonts w:ascii="Times New Roman" w:hAnsi="Times New Roman"/>
          <w:sz w:val="20"/>
          <w:szCs w:val="20"/>
        </w:rPr>
        <w:t>) &gt;</w:t>
      </w:r>
      <w:proofErr w:type="gramEnd"/>
      <w:r w:rsidRPr="000E2FDD">
        <w:rPr>
          <w:rFonts w:ascii="Times New Roman" w:hAnsi="Times New Roman"/>
          <w:sz w:val="20"/>
          <w:szCs w:val="20"/>
        </w:rPr>
        <w:t xml:space="preserve"> </w:t>
      </w:r>
    </w:p>
    <w:p w:rsidR="001C307B" w:rsidRPr="001C307B" w:rsidRDefault="001C307B" w:rsidP="00A7610C">
      <w:pPr>
        <w:spacing w:line="240" w:lineRule="auto"/>
        <w:rPr>
          <w:rFonts w:ascii="Times New Roman" w:hAnsi="Times New Roman"/>
          <w:b/>
        </w:rPr>
      </w:pP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1C307B">
        <w:rPr>
          <w:rFonts w:ascii="Times New Roman" w:hAnsi="Times New Roman"/>
          <w:b/>
        </w:rPr>
        <w:t xml:space="preserve">Оборот по каждому домену для </w:t>
      </w:r>
      <w:r w:rsidR="00EC0E43">
        <w:rPr>
          <w:rFonts w:ascii="Times New Roman" w:hAnsi="Times New Roman"/>
          <w:b/>
          <w:lang w:val="en-US"/>
        </w:rPr>
        <w:t>OLV</w:t>
      </w:r>
      <w:r w:rsidRPr="001C307B">
        <w:rPr>
          <w:rFonts w:ascii="Times New Roman" w:hAnsi="Times New Roman"/>
          <w:b/>
        </w:rPr>
        <w:t>-рекламы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b/>
          <w:sz w:val="36"/>
        </w:rPr>
      </w:pPr>
      <w:r w:rsidRPr="001C307B">
        <w:rPr>
          <w:rFonts w:ascii="Times New Roman" w:hAnsi="Times New Roman"/>
          <w:b/>
          <w:sz w:val="36"/>
        </w:rPr>
        <w:t>=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proofErr w:type="gramStart"/>
      <w:r w:rsidRPr="001C307B">
        <w:rPr>
          <w:rFonts w:ascii="Times New Roman" w:hAnsi="Times New Roman"/>
        </w:rPr>
        <w:t>&lt; Количество</w:t>
      </w:r>
      <w:proofErr w:type="gramEnd"/>
      <w:r w:rsidRPr="001C307B">
        <w:rPr>
          <w:rFonts w:ascii="Times New Roman" w:hAnsi="Times New Roman"/>
        </w:rPr>
        <w:t xml:space="preserve"> заходов на домен в </w:t>
      </w:r>
      <w:proofErr w:type="spellStart"/>
      <w:r w:rsidRPr="001C307B">
        <w:rPr>
          <w:rFonts w:ascii="Times New Roman" w:hAnsi="Times New Roman"/>
        </w:rPr>
        <w:t>desktop</w:t>
      </w:r>
      <w:proofErr w:type="spellEnd"/>
      <w:r w:rsidRPr="001C307B">
        <w:rPr>
          <w:rFonts w:ascii="Times New Roman" w:hAnsi="Times New Roman"/>
        </w:rPr>
        <w:t xml:space="preserve"> + </w:t>
      </w:r>
      <w:proofErr w:type="spellStart"/>
      <w:r w:rsidRPr="001C307B">
        <w:rPr>
          <w:rFonts w:ascii="Times New Roman" w:hAnsi="Times New Roman"/>
        </w:rPr>
        <w:t>mobile</w:t>
      </w:r>
      <w:proofErr w:type="spellEnd"/>
      <w:r w:rsidRPr="001C307B">
        <w:rPr>
          <w:rFonts w:ascii="Times New Roman" w:hAnsi="Times New Roman"/>
        </w:rPr>
        <w:t xml:space="preserve">, отнесенные к категории </w:t>
      </w:r>
      <w:r w:rsidR="00EC0E43">
        <w:rPr>
          <w:rFonts w:ascii="Times New Roman" w:hAnsi="Times New Roman"/>
          <w:lang w:val="en-US"/>
        </w:rPr>
        <w:t>OLV</w:t>
      </w:r>
      <w:r w:rsidRPr="001C307B">
        <w:rPr>
          <w:rFonts w:ascii="Times New Roman" w:hAnsi="Times New Roman"/>
        </w:rPr>
        <w:t xml:space="preserve"> &gt;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</w:rPr>
      </w:pPr>
      <w:r w:rsidRPr="001C307B">
        <w:rPr>
          <w:rFonts w:ascii="Times New Roman" w:hAnsi="Times New Roman"/>
        </w:rPr>
        <w:t>*</w:t>
      </w:r>
    </w:p>
    <w:p w:rsidR="001C307B" w:rsidRPr="001C307B" w:rsidRDefault="001C307B" w:rsidP="00A7610C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C307B">
        <w:rPr>
          <w:rFonts w:ascii="Times New Roman" w:hAnsi="Times New Roman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 w:rsidRPr="001C307B">
        <w:rPr>
          <w:rFonts w:ascii="Times New Roman" w:hAnsi="Times New Roman"/>
          <w:sz w:val="20"/>
          <w:szCs w:val="20"/>
        </w:rPr>
        <w:t>desktop</w:t>
      </w:r>
      <w:proofErr w:type="spellEnd"/>
      <w:r w:rsidRPr="001C307B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1C307B">
        <w:rPr>
          <w:rFonts w:ascii="Times New Roman" w:hAnsi="Times New Roman"/>
          <w:sz w:val="20"/>
          <w:szCs w:val="20"/>
        </w:rPr>
        <w:t>mobile</w:t>
      </w:r>
      <w:proofErr w:type="spellEnd"/>
      <w:proofErr w:type="gramStart"/>
      <w:r w:rsidRPr="001C307B">
        <w:rPr>
          <w:rFonts w:ascii="Times New Roman" w:hAnsi="Times New Roman"/>
          <w:sz w:val="20"/>
          <w:szCs w:val="20"/>
        </w:rPr>
        <w:t>) &gt;</w:t>
      </w:r>
      <w:proofErr w:type="gramEnd"/>
      <w:r w:rsidRPr="001C307B">
        <w:rPr>
          <w:rFonts w:ascii="Times New Roman" w:hAnsi="Times New Roman"/>
          <w:sz w:val="20"/>
          <w:szCs w:val="20"/>
        </w:rPr>
        <w:t xml:space="preserve"> </w:t>
      </w:r>
    </w:p>
    <w:p w:rsidR="00EC0E43" w:rsidRPr="00EC0E43" w:rsidRDefault="00EC0E43" w:rsidP="002534F1">
      <w:pPr>
        <w:rPr>
          <w:rFonts w:ascii="Times New Roman" w:hAnsi="Times New Roman"/>
        </w:rPr>
      </w:pPr>
      <w:r w:rsidRPr="00EC0E43">
        <w:rPr>
          <w:rFonts w:ascii="Times New Roman" w:hAnsi="Times New Roman"/>
        </w:rPr>
        <w:lastRenderedPageBreak/>
        <w:t xml:space="preserve">Бюджеты по каналам </w:t>
      </w:r>
      <w:r w:rsidRPr="00EC0E43">
        <w:rPr>
          <w:rFonts w:ascii="Times New Roman" w:hAnsi="Times New Roman"/>
          <w:lang w:val="en-US"/>
        </w:rPr>
        <w:t>Paid</w:t>
      </w:r>
      <w:r w:rsidRPr="00EC0E43">
        <w:rPr>
          <w:rFonts w:ascii="Times New Roman" w:hAnsi="Times New Roman"/>
        </w:rPr>
        <w:t xml:space="preserve"> </w:t>
      </w:r>
      <w:r w:rsidRPr="00EC0E43">
        <w:rPr>
          <w:rFonts w:ascii="Times New Roman" w:hAnsi="Times New Roman"/>
          <w:lang w:val="en-US"/>
        </w:rPr>
        <w:t>Social</w:t>
      </w:r>
      <w:r w:rsidRPr="00EC0E43">
        <w:rPr>
          <w:rFonts w:ascii="Times New Roman" w:hAnsi="Times New Roman"/>
        </w:rPr>
        <w:t xml:space="preserve"> </w:t>
      </w:r>
      <w:r w:rsidRPr="00EC0E43">
        <w:rPr>
          <w:rFonts w:ascii="Times New Roman" w:hAnsi="Times New Roman"/>
          <w:lang w:val="en-US"/>
        </w:rPr>
        <w:t>E</w:t>
      </w:r>
      <w:r w:rsidRPr="00EC0E43">
        <w:rPr>
          <w:rFonts w:ascii="Times New Roman" w:hAnsi="Times New Roman"/>
        </w:rPr>
        <w:t>-</w:t>
      </w:r>
      <w:r w:rsidRPr="00EC0E43">
        <w:rPr>
          <w:rFonts w:ascii="Times New Roman" w:hAnsi="Times New Roman"/>
          <w:lang w:val="en-US"/>
        </w:rPr>
        <w:t>mail</w:t>
      </w:r>
      <w:r w:rsidRPr="00EC0E43">
        <w:rPr>
          <w:rFonts w:ascii="Times New Roman" w:hAnsi="Times New Roman"/>
        </w:rPr>
        <w:t xml:space="preserve"> </w:t>
      </w:r>
      <w:r w:rsidRPr="00EC0E43">
        <w:rPr>
          <w:rFonts w:ascii="Times New Roman" w:hAnsi="Times New Roman"/>
          <w:lang w:val="en-US"/>
        </w:rPr>
        <w:t>Marketing</w:t>
      </w:r>
      <w:r w:rsidRPr="00EC0E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EC0E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этом</w:t>
      </w:r>
      <w:r w:rsidRPr="00EC0E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не оценивались.</w:t>
      </w:r>
    </w:p>
    <w:p w:rsidR="002534F1" w:rsidRPr="002534F1" w:rsidRDefault="002534F1" w:rsidP="002534F1">
      <w:pPr>
        <w:rPr>
          <w:rFonts w:ascii="Times New Roman" w:hAnsi="Times New Roman"/>
          <w:b/>
          <w:bCs/>
        </w:rPr>
      </w:pPr>
      <w:r w:rsidRPr="002534F1">
        <w:rPr>
          <w:rFonts w:ascii="Times New Roman" w:hAnsi="Times New Roman"/>
          <w:b/>
          <w:bCs/>
        </w:rPr>
        <w:t>ОГРАНИЧЕНИЯ ОЦЕНКИ</w:t>
      </w:r>
    </w:p>
    <w:p w:rsidR="002534F1" w:rsidRPr="00E6009C" w:rsidRDefault="002534F1" w:rsidP="002534F1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оценку не </w:t>
      </w:r>
      <w:r>
        <w:rPr>
          <w:rFonts w:ascii="Times New Roman" w:hAnsi="Times New Roman"/>
        </w:rPr>
        <w:t>входят</w:t>
      </w:r>
      <w:r w:rsidRPr="00E6009C">
        <w:rPr>
          <w:rFonts w:ascii="Times New Roman" w:hAnsi="Times New Roman"/>
        </w:rPr>
        <w:t xml:space="preserve"> медиаканалы, где на сегодняшний день отсутствует независимый мониторинг или не выработан методологический подход: </w:t>
      </w:r>
      <w:proofErr w:type="spellStart"/>
      <w:r w:rsidRPr="00E6009C">
        <w:rPr>
          <w:rFonts w:ascii="Times New Roman" w:hAnsi="Times New Roman"/>
        </w:rPr>
        <w:t>Indoor</w:t>
      </w:r>
      <w:proofErr w:type="spellEnd"/>
      <w:r w:rsidRPr="00E6009C">
        <w:rPr>
          <w:rFonts w:ascii="Times New Roman" w:hAnsi="Times New Roman"/>
        </w:rPr>
        <w:t xml:space="preserve">-реклама, в т.ч. </w:t>
      </w:r>
      <w:proofErr w:type="gramStart"/>
      <w:r w:rsidRPr="00E6009C">
        <w:rPr>
          <w:rFonts w:ascii="Times New Roman" w:hAnsi="Times New Roman"/>
        </w:rPr>
        <w:t>в  кинотеатрах</w:t>
      </w:r>
      <w:proofErr w:type="gramEnd"/>
      <w:r w:rsidRPr="00E6009C">
        <w:rPr>
          <w:rFonts w:ascii="Times New Roman" w:hAnsi="Times New Roman"/>
        </w:rPr>
        <w:t xml:space="preserve"> и аэропортах, в транзитная реклама, PR (в т.ч. SMM), </w:t>
      </w:r>
      <w:proofErr w:type="spellStart"/>
      <w:r w:rsidRPr="00E6009C">
        <w:rPr>
          <w:rFonts w:ascii="Times New Roman" w:hAnsi="Times New Roman"/>
        </w:rPr>
        <w:t>нативные</w:t>
      </w:r>
      <w:proofErr w:type="spellEnd"/>
      <w:r w:rsidRPr="00E6009C">
        <w:rPr>
          <w:rFonts w:ascii="Times New Roman" w:hAnsi="Times New Roman"/>
        </w:rPr>
        <w:t xml:space="preserve"> и спец</w:t>
      </w:r>
      <w:r>
        <w:rPr>
          <w:rFonts w:ascii="Times New Roman" w:hAnsi="Times New Roman"/>
        </w:rPr>
        <w:t xml:space="preserve">иальные </w:t>
      </w:r>
      <w:r w:rsidRPr="00E6009C">
        <w:rPr>
          <w:rFonts w:ascii="Times New Roman" w:hAnsi="Times New Roman"/>
        </w:rPr>
        <w:t>проекты.</w:t>
      </w:r>
    </w:p>
    <w:p w:rsidR="00A7610C" w:rsidRDefault="00A7610C" w:rsidP="005E1553">
      <w:pPr>
        <w:rPr>
          <w:rFonts w:ascii="Times New Roman" w:hAnsi="Times New Roman"/>
          <w:b/>
          <w:bCs/>
        </w:rPr>
      </w:pPr>
    </w:p>
    <w:p w:rsidR="005E1553" w:rsidRPr="00053CA6" w:rsidRDefault="005E1553" w:rsidP="005E1553">
      <w:pPr>
        <w:rPr>
          <w:rFonts w:ascii="Times New Roman" w:hAnsi="Times New Roman"/>
          <w:b/>
          <w:bCs/>
        </w:rPr>
      </w:pPr>
      <w:r w:rsidRPr="00053CA6">
        <w:rPr>
          <w:rFonts w:ascii="Times New Roman" w:hAnsi="Times New Roman"/>
          <w:b/>
          <w:bCs/>
        </w:rPr>
        <w:t>ОЦЕНКА ОБОРОТОВ АГЕНТСТВ</w:t>
      </w:r>
    </w:p>
    <w:p w:rsidR="005E1553" w:rsidRPr="00053CA6" w:rsidRDefault="005E1553" w:rsidP="005E1553">
      <w:pPr>
        <w:rPr>
          <w:rFonts w:ascii="Times New Roman" w:hAnsi="Times New Roman"/>
          <w:b/>
          <w:bCs/>
        </w:rPr>
      </w:pPr>
      <w:r w:rsidRPr="00053CA6">
        <w:rPr>
          <w:rFonts w:ascii="Times New Roman" w:hAnsi="Times New Roman"/>
          <w:b/>
          <w:bCs/>
        </w:rPr>
        <w:t>ФУНДАМЕНТ ПОДХОДА</w:t>
      </w:r>
    </w:p>
    <w:p w:rsidR="005E1553" w:rsidRPr="00E6009C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Рейтинг </w:t>
      </w:r>
      <w:proofErr w:type="spellStart"/>
      <w:r w:rsidRPr="00E6009C">
        <w:rPr>
          <w:rFonts w:ascii="Times New Roman" w:hAnsi="Times New Roman"/>
        </w:rPr>
        <w:t>медиаагентств</w:t>
      </w:r>
      <w:proofErr w:type="spellEnd"/>
      <w:r w:rsidRPr="00E6009C">
        <w:rPr>
          <w:rFonts w:ascii="Times New Roman" w:hAnsi="Times New Roman"/>
        </w:rPr>
        <w:t xml:space="preserve"> является производным от рейтинга рекламодателей. </w:t>
      </w:r>
      <w:r w:rsidR="002534F1">
        <w:rPr>
          <w:rFonts w:ascii="Times New Roman" w:hAnsi="Times New Roman"/>
        </w:rPr>
        <w:t>Обороты агентств складываются из медийных бюджетов обслуживаемых ими рекламодателей.</w:t>
      </w:r>
    </w:p>
    <w:p w:rsidR="005E1553" w:rsidRDefault="005E1553" w:rsidP="005E1553">
      <w:p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Оценка биллингов агентств</w:t>
      </w:r>
      <w:r w:rsidR="00434237">
        <w:rPr>
          <w:rFonts w:ascii="Times New Roman" w:hAnsi="Times New Roman"/>
        </w:rPr>
        <w:t>-</w:t>
      </w:r>
      <w:proofErr w:type="spellStart"/>
      <w:r w:rsidR="00434237">
        <w:rPr>
          <w:rFonts w:ascii="Times New Roman" w:hAnsi="Times New Roman"/>
        </w:rPr>
        <w:t>контракторов</w:t>
      </w:r>
      <w:proofErr w:type="spellEnd"/>
      <w:r w:rsidR="00434237">
        <w:rPr>
          <w:rFonts w:ascii="Times New Roman" w:hAnsi="Times New Roman"/>
        </w:rPr>
        <w:t xml:space="preserve"> прошла</w:t>
      </w:r>
      <w:r w:rsidRPr="00E6009C">
        <w:rPr>
          <w:rFonts w:ascii="Times New Roman" w:hAnsi="Times New Roman"/>
        </w:rPr>
        <w:t xml:space="preserve"> многоступенчатую верификацию с целью исключения искусственного завышения показателей</w:t>
      </w:r>
      <w:r w:rsidR="007B3898">
        <w:rPr>
          <w:rFonts w:ascii="Times New Roman" w:hAnsi="Times New Roman"/>
        </w:rPr>
        <w:t>.</w:t>
      </w:r>
    </w:p>
    <w:p w:rsidR="007B3898" w:rsidRPr="007B3898" w:rsidRDefault="007B3898" w:rsidP="005E1553">
      <w:pPr>
        <w:rPr>
          <w:rFonts w:ascii="Times New Roman" w:hAnsi="Times New Roman"/>
          <w:b/>
          <w:bCs/>
        </w:rPr>
      </w:pPr>
      <w:r w:rsidRPr="007B3898">
        <w:rPr>
          <w:rFonts w:ascii="Times New Roman" w:hAnsi="Times New Roman"/>
          <w:b/>
          <w:bCs/>
        </w:rPr>
        <w:t>Регламент верификации</w:t>
      </w:r>
    </w:p>
    <w:p w:rsidR="005E1553" w:rsidRPr="00E6009C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Биллинги агентств</w:t>
      </w:r>
      <w:r w:rsidR="002534F1">
        <w:rPr>
          <w:rFonts w:ascii="Times New Roman" w:hAnsi="Times New Roman"/>
        </w:rPr>
        <w:t>-</w:t>
      </w:r>
      <w:proofErr w:type="spellStart"/>
      <w:r w:rsidR="002534F1">
        <w:rPr>
          <w:rFonts w:ascii="Times New Roman" w:hAnsi="Times New Roman"/>
        </w:rPr>
        <w:t>контракторов</w:t>
      </w:r>
      <w:proofErr w:type="spellEnd"/>
      <w:r w:rsidRPr="00E6009C">
        <w:rPr>
          <w:rFonts w:ascii="Times New Roman" w:hAnsi="Times New Roman"/>
        </w:rPr>
        <w:t xml:space="preserve"> включают только те бюджеты, которые приходят напрямую от клиента. Таким образом, если агентство А передает бюджет на обслуживание (</w:t>
      </w:r>
      <w:proofErr w:type="spellStart"/>
      <w:r w:rsidRPr="00E6009C">
        <w:rPr>
          <w:rFonts w:ascii="Times New Roman" w:hAnsi="Times New Roman"/>
        </w:rPr>
        <w:t>баинг</w:t>
      </w:r>
      <w:proofErr w:type="spellEnd"/>
      <w:r w:rsidRPr="00E6009C">
        <w:rPr>
          <w:rFonts w:ascii="Times New Roman" w:hAnsi="Times New Roman"/>
        </w:rPr>
        <w:t xml:space="preserve">) в агентство В, бюджет засчитывается агентству А. </w:t>
      </w:r>
    </w:p>
    <w:p w:rsidR="005E1553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В исследовании не допускается объединение показателей нескольких компаний в агентском рейтинге. В рамках </w:t>
      </w:r>
      <w:proofErr w:type="spellStart"/>
      <w:r w:rsidRPr="00E6009C">
        <w:rPr>
          <w:rFonts w:ascii="Times New Roman" w:hAnsi="Times New Roman"/>
        </w:rPr>
        <w:t>фактчекинга</w:t>
      </w:r>
      <w:proofErr w:type="spellEnd"/>
      <w:r w:rsidRPr="00E6009C">
        <w:rPr>
          <w:rFonts w:ascii="Times New Roman" w:hAnsi="Times New Roman"/>
        </w:rPr>
        <w:t xml:space="preserve"> </w:t>
      </w:r>
      <w:r w:rsidR="002534F1">
        <w:rPr>
          <w:rFonts w:ascii="Times New Roman" w:hAnsi="Times New Roman"/>
        </w:rPr>
        <w:t>проводилась</w:t>
      </w:r>
      <w:r w:rsidRPr="00E6009C">
        <w:rPr>
          <w:rFonts w:ascii="Times New Roman" w:hAnsi="Times New Roman"/>
        </w:rPr>
        <w:t xml:space="preserve"> проверка достоверности заявленных данных для исключения попыток «накачивания» показателей отдельных агентств группы для повышения его позиции в рейтинге. </w:t>
      </w:r>
    </w:p>
    <w:p w:rsidR="00434237" w:rsidRPr="00434237" w:rsidRDefault="00434237" w:rsidP="0043423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434237">
        <w:rPr>
          <w:rFonts w:ascii="Times New Roman" w:hAnsi="Times New Roman"/>
        </w:rPr>
        <w:t xml:space="preserve">При отсутствии у агентств юрлица или при получении контракта на группу решение о включении бюджета в оборот того или иного агентства принимается группой </w:t>
      </w:r>
      <w:r>
        <w:rPr>
          <w:rFonts w:ascii="Times New Roman" w:hAnsi="Times New Roman"/>
        </w:rPr>
        <w:t xml:space="preserve">до момента </w:t>
      </w:r>
      <w:proofErr w:type="spellStart"/>
      <w:r>
        <w:rPr>
          <w:rFonts w:ascii="Times New Roman" w:hAnsi="Times New Roman"/>
        </w:rPr>
        <w:t>эстимации</w:t>
      </w:r>
      <w:proofErr w:type="spellEnd"/>
      <w:r>
        <w:rPr>
          <w:rFonts w:ascii="Times New Roman" w:hAnsi="Times New Roman"/>
        </w:rPr>
        <w:t xml:space="preserve"> </w:t>
      </w:r>
      <w:r w:rsidRPr="00434237">
        <w:rPr>
          <w:rFonts w:ascii="Times New Roman" w:hAnsi="Times New Roman"/>
        </w:rPr>
        <w:t xml:space="preserve">и в дальнейшем не пересматривается. </w:t>
      </w:r>
    </w:p>
    <w:p w:rsidR="005E1553" w:rsidRDefault="005E1553" w:rsidP="005E1553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>В исследовании не допускается включение в рейтинг компаний, заявляемых искусственно для попадания в рейтинг групп. Обороты таких фиктивных агентских брендов обычно минимальны, а намерения заявителей прозрачны: а агентском рейтинге компания с небольшим оборотом может занимать 80 место, а в рамках группового зачета, где участников значительно меньше, они попадают на топовые позиции, о чем заявляют в рамках подтверждения тендерных условий.</w:t>
      </w:r>
    </w:p>
    <w:p w:rsidR="007B3898" w:rsidRDefault="007B3898" w:rsidP="007B3898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</w:t>
      </w:r>
      <w:proofErr w:type="spellStart"/>
      <w:r>
        <w:rPr>
          <w:rFonts w:ascii="Times New Roman" w:hAnsi="Times New Roman"/>
        </w:rPr>
        <w:t>фактчекинга</w:t>
      </w:r>
      <w:proofErr w:type="spellEnd"/>
      <w:r>
        <w:rPr>
          <w:rFonts w:ascii="Times New Roman" w:hAnsi="Times New Roman"/>
        </w:rPr>
        <w:t xml:space="preserve"> подтверждению подлежали все контракты, вклад которых в оборот агентства состав</w:t>
      </w:r>
      <w:r w:rsidR="00476866">
        <w:rPr>
          <w:rFonts w:ascii="Times New Roman" w:hAnsi="Times New Roman"/>
        </w:rPr>
        <w:t>ил</w:t>
      </w:r>
      <w:r>
        <w:rPr>
          <w:rFonts w:ascii="Times New Roman" w:hAnsi="Times New Roman"/>
        </w:rPr>
        <w:t xml:space="preserve"> более 5%. Исключение – сетевые контракты, контракты, полученные в ходе публичных тендеров, а также бюджеты, подтвержденные публикациями в СМИ.</w:t>
      </w:r>
    </w:p>
    <w:p w:rsidR="00C41E2A" w:rsidRDefault="00C41E2A" w:rsidP="00C41E2A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</w:t>
      </w:r>
      <w:r w:rsidR="007B3898">
        <w:rPr>
          <w:rFonts w:ascii="Times New Roman" w:hAnsi="Times New Roman"/>
        </w:rPr>
        <w:t xml:space="preserve"> </w:t>
      </w:r>
      <w:r w:rsidRPr="00C41E2A">
        <w:rPr>
          <w:rFonts w:ascii="Times New Roman" w:hAnsi="Times New Roman"/>
        </w:rPr>
        <w:t xml:space="preserve">агентство не </w:t>
      </w:r>
      <w:r w:rsidR="00476866">
        <w:rPr>
          <w:rFonts w:ascii="Times New Roman" w:hAnsi="Times New Roman"/>
        </w:rPr>
        <w:t>могло</w:t>
      </w:r>
      <w:r w:rsidRPr="00C41E2A">
        <w:rPr>
          <w:rFonts w:ascii="Times New Roman" w:hAnsi="Times New Roman"/>
        </w:rPr>
        <w:t xml:space="preserve"> предоставить документальные подтверждения </w:t>
      </w:r>
      <w:r>
        <w:rPr>
          <w:rFonts w:ascii="Times New Roman" w:hAnsi="Times New Roman"/>
        </w:rPr>
        <w:t xml:space="preserve">по двум и более </w:t>
      </w:r>
      <w:r w:rsidRPr="00C41E2A">
        <w:rPr>
          <w:rFonts w:ascii="Times New Roman" w:hAnsi="Times New Roman"/>
        </w:rPr>
        <w:t>клиентам из числа запрашиваемых</w:t>
      </w:r>
      <w:r w:rsidR="007B3898" w:rsidRPr="00C41E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проводи</w:t>
      </w:r>
      <w:r w:rsidR="00476866">
        <w:rPr>
          <w:rFonts w:ascii="Times New Roman" w:hAnsi="Times New Roman"/>
        </w:rPr>
        <w:t xml:space="preserve">лась </w:t>
      </w:r>
      <w:r w:rsidR="007B3898" w:rsidRPr="00C41E2A">
        <w:rPr>
          <w:rFonts w:ascii="Times New Roman" w:hAnsi="Times New Roman"/>
        </w:rPr>
        <w:t>полн</w:t>
      </w:r>
      <w:r>
        <w:rPr>
          <w:rFonts w:ascii="Times New Roman" w:hAnsi="Times New Roman"/>
        </w:rPr>
        <w:t>ая</w:t>
      </w:r>
      <w:r w:rsidR="007B3898" w:rsidRPr="00C41E2A">
        <w:rPr>
          <w:rFonts w:ascii="Times New Roman" w:hAnsi="Times New Roman"/>
        </w:rPr>
        <w:t xml:space="preserve"> проверк</w:t>
      </w:r>
      <w:r>
        <w:rPr>
          <w:rFonts w:ascii="Times New Roman" w:hAnsi="Times New Roman"/>
        </w:rPr>
        <w:t>а</w:t>
      </w:r>
      <w:r w:rsidR="007B3898" w:rsidRPr="00C41E2A">
        <w:rPr>
          <w:rFonts w:ascii="Times New Roman" w:hAnsi="Times New Roman"/>
        </w:rPr>
        <w:t xml:space="preserve"> всех заявленных контрактов.</w:t>
      </w:r>
    </w:p>
    <w:p w:rsidR="00C41E2A" w:rsidRDefault="00C41E2A" w:rsidP="00C41E2A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6009C">
        <w:rPr>
          <w:rFonts w:ascii="Times New Roman" w:hAnsi="Times New Roman"/>
        </w:rPr>
        <w:t xml:space="preserve">Агентства, которые не </w:t>
      </w:r>
      <w:r w:rsidR="00476866">
        <w:rPr>
          <w:rFonts w:ascii="Times New Roman" w:hAnsi="Times New Roman"/>
        </w:rPr>
        <w:t>могли</w:t>
      </w:r>
      <w:r w:rsidRPr="00E6009C">
        <w:rPr>
          <w:rFonts w:ascii="Times New Roman" w:hAnsi="Times New Roman"/>
        </w:rPr>
        <w:t xml:space="preserve"> подтвердить </w:t>
      </w:r>
      <w:r>
        <w:rPr>
          <w:rFonts w:ascii="Times New Roman" w:hAnsi="Times New Roman"/>
        </w:rPr>
        <w:t>95% клиентов</w:t>
      </w:r>
      <w:r w:rsidRPr="00E6009C">
        <w:rPr>
          <w:rFonts w:ascii="Times New Roman" w:hAnsi="Times New Roman"/>
        </w:rPr>
        <w:t>, исключа</w:t>
      </w:r>
      <w:r w:rsidR="00476866">
        <w:rPr>
          <w:rFonts w:ascii="Times New Roman" w:hAnsi="Times New Roman"/>
        </w:rPr>
        <w:t>лись</w:t>
      </w:r>
      <w:r w:rsidRPr="00E6009C">
        <w:rPr>
          <w:rFonts w:ascii="Times New Roman" w:hAnsi="Times New Roman"/>
        </w:rPr>
        <w:t xml:space="preserve"> из рейтинга</w:t>
      </w:r>
      <w:r w:rsidR="00434237">
        <w:rPr>
          <w:rFonts w:ascii="Times New Roman" w:hAnsi="Times New Roman"/>
        </w:rPr>
        <w:t xml:space="preserve"> с указанием причин отсутствия в рейтинге</w:t>
      </w:r>
      <w:r w:rsidR="00476866">
        <w:rPr>
          <w:rFonts w:ascii="Times New Roman" w:hAnsi="Times New Roman"/>
        </w:rPr>
        <w:t xml:space="preserve"> (прецедент 2015 </w:t>
      </w:r>
      <w:r w:rsidR="00D064D4">
        <w:rPr>
          <w:rFonts w:ascii="Times New Roman" w:hAnsi="Times New Roman"/>
        </w:rPr>
        <w:t xml:space="preserve">года </w:t>
      </w:r>
      <w:hyperlink r:id="rId5" w:history="1">
        <w:r w:rsidR="00D064D4" w:rsidRPr="0060091E">
          <w:rPr>
            <w:rStyle w:val="a6"/>
          </w:rPr>
          <w:t>https://adindex.ru/rating3/mediaservice/133648/index.phtml</w:t>
        </w:r>
      </w:hyperlink>
      <w:r w:rsidR="00476866">
        <w:rPr>
          <w:rFonts w:ascii="Times New Roman" w:hAnsi="Times New Roman"/>
        </w:rPr>
        <w:t>)</w:t>
      </w:r>
      <w:r w:rsidRPr="00E6009C">
        <w:rPr>
          <w:rFonts w:ascii="Times New Roman" w:hAnsi="Times New Roman"/>
        </w:rPr>
        <w:t>.</w:t>
      </w:r>
    </w:p>
    <w:sectPr w:rsidR="00C41E2A" w:rsidSect="000E2FD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8BD"/>
    <w:multiLevelType w:val="hybridMultilevel"/>
    <w:tmpl w:val="3C9A45FC"/>
    <w:lvl w:ilvl="0" w:tplc="5F06D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50C20"/>
    <w:multiLevelType w:val="hybridMultilevel"/>
    <w:tmpl w:val="1DB037BC"/>
    <w:lvl w:ilvl="0" w:tplc="1E342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F5950"/>
    <w:multiLevelType w:val="hybridMultilevel"/>
    <w:tmpl w:val="91A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4AEA"/>
    <w:multiLevelType w:val="hybridMultilevel"/>
    <w:tmpl w:val="7F8CA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56288"/>
    <w:multiLevelType w:val="hybridMultilevel"/>
    <w:tmpl w:val="90C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489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1B9F"/>
    <w:multiLevelType w:val="hybridMultilevel"/>
    <w:tmpl w:val="E3C0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0364"/>
    <w:multiLevelType w:val="hybridMultilevel"/>
    <w:tmpl w:val="8A7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5D3"/>
    <w:multiLevelType w:val="hybridMultilevel"/>
    <w:tmpl w:val="2A8A5116"/>
    <w:lvl w:ilvl="0" w:tplc="2B98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372CC"/>
    <w:multiLevelType w:val="hybridMultilevel"/>
    <w:tmpl w:val="7C5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4541B"/>
    <w:multiLevelType w:val="hybridMultilevel"/>
    <w:tmpl w:val="97146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976CF5"/>
    <w:multiLevelType w:val="hybridMultilevel"/>
    <w:tmpl w:val="A28C7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7D54BD"/>
    <w:multiLevelType w:val="hybridMultilevel"/>
    <w:tmpl w:val="39C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42A30"/>
    <w:multiLevelType w:val="hybridMultilevel"/>
    <w:tmpl w:val="6EA0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53CA6"/>
    <w:rsid w:val="000D04D6"/>
    <w:rsid w:val="000D2EE2"/>
    <w:rsid w:val="000E2FDD"/>
    <w:rsid w:val="001A70F6"/>
    <w:rsid w:val="001C307B"/>
    <w:rsid w:val="001F315B"/>
    <w:rsid w:val="001F4654"/>
    <w:rsid w:val="00251FAE"/>
    <w:rsid w:val="002534F1"/>
    <w:rsid w:val="002E5FED"/>
    <w:rsid w:val="0030317A"/>
    <w:rsid w:val="003C2FEB"/>
    <w:rsid w:val="003D53C7"/>
    <w:rsid w:val="00406A03"/>
    <w:rsid w:val="00434237"/>
    <w:rsid w:val="004608BF"/>
    <w:rsid w:val="004623CD"/>
    <w:rsid w:val="00476866"/>
    <w:rsid w:val="00516A38"/>
    <w:rsid w:val="00575A72"/>
    <w:rsid w:val="005C6C6B"/>
    <w:rsid w:val="005E1553"/>
    <w:rsid w:val="005F4ECC"/>
    <w:rsid w:val="006267ED"/>
    <w:rsid w:val="0068027C"/>
    <w:rsid w:val="006A2F1D"/>
    <w:rsid w:val="006F1194"/>
    <w:rsid w:val="0073573A"/>
    <w:rsid w:val="007B3898"/>
    <w:rsid w:val="007C0778"/>
    <w:rsid w:val="007D5F3F"/>
    <w:rsid w:val="008B1145"/>
    <w:rsid w:val="008D456E"/>
    <w:rsid w:val="009365E5"/>
    <w:rsid w:val="0099578F"/>
    <w:rsid w:val="009B4DFB"/>
    <w:rsid w:val="009D4062"/>
    <w:rsid w:val="009D6FED"/>
    <w:rsid w:val="00A569BB"/>
    <w:rsid w:val="00A7610C"/>
    <w:rsid w:val="00B665A5"/>
    <w:rsid w:val="00BC4B75"/>
    <w:rsid w:val="00C24BC2"/>
    <w:rsid w:val="00C41E2A"/>
    <w:rsid w:val="00D064D4"/>
    <w:rsid w:val="00E226B3"/>
    <w:rsid w:val="00E6009C"/>
    <w:rsid w:val="00EB08FF"/>
    <w:rsid w:val="00EC0E43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24EB-1455-4FDC-B009-2CF8664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53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5E155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E1553"/>
    <w:rPr>
      <w:b/>
      <w:bCs/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47686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0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ndex.ru/rating3/mediaservice/133648/index.p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Пустовит</dc:creator>
  <cp:keywords/>
  <dc:description/>
  <cp:lastModifiedBy>Ирина Пустовит</cp:lastModifiedBy>
  <cp:revision>15</cp:revision>
  <dcterms:created xsi:type="dcterms:W3CDTF">2020-04-07T16:38:00Z</dcterms:created>
  <dcterms:modified xsi:type="dcterms:W3CDTF">2020-04-17T17:48:00Z</dcterms:modified>
</cp:coreProperties>
</file>