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F5DE6" w14:textId="77777777" w:rsidR="00F545C7" w:rsidRDefault="00000000">
      <w:pPr>
        <w:rPr>
          <w:rFonts w:ascii="Times New Roman" w:eastAsia="Times New Roman" w:hAnsi="Times New Roman"/>
          <w:b/>
        </w:rPr>
      </w:pPr>
      <w:r>
        <w:rPr>
          <w:rFonts w:ascii="Times New Roman" w:eastAsia="Times New Roman" w:hAnsi="Times New Roman"/>
          <w:b/>
        </w:rPr>
        <w:t>РЕЙТИНГ КРУПНЕЙШИХ РЕКЛАМОДАТЕЛЕЙ И АГЕНТСТВ</w:t>
      </w:r>
    </w:p>
    <w:p w14:paraId="10522629" w14:textId="77777777" w:rsidR="00F545C7" w:rsidRDefault="00000000">
      <w:pPr>
        <w:rPr>
          <w:rFonts w:ascii="Times New Roman" w:eastAsia="Times New Roman" w:hAnsi="Times New Roman"/>
          <w:b/>
        </w:rPr>
      </w:pPr>
      <w:r>
        <w:rPr>
          <w:rFonts w:ascii="Times New Roman" w:eastAsia="Times New Roman" w:hAnsi="Times New Roman"/>
          <w:b/>
        </w:rPr>
        <w:t>Описание проекта</w:t>
      </w:r>
    </w:p>
    <w:p w14:paraId="10C359E1" w14:textId="77777777" w:rsidR="00325384" w:rsidRDefault="00000000" w:rsidP="00D10DF1">
      <w:pPr>
        <w:ind w:right="1075"/>
        <w:rPr>
          <w:rFonts w:ascii="Times New Roman" w:eastAsia="Times New Roman" w:hAnsi="Times New Roman"/>
        </w:rPr>
      </w:pPr>
      <w:r>
        <w:rPr>
          <w:rFonts w:ascii="Times New Roman" w:eastAsia="Times New Roman" w:hAnsi="Times New Roman"/>
        </w:rPr>
        <w:t>Бюджеты на рекламу оцениваются в тех каналах, где есть независимый мониторинг размещений – на ТВ, в прессе, на радио, в наружной рекламе и в интернете. Офлайн-мониторинг предоставлен исследовательскими компаниями Mediascope и Admetrix.</w:t>
      </w:r>
      <w:r w:rsidR="00D10DF1">
        <w:rPr>
          <w:rFonts w:ascii="Times New Roman" w:eastAsia="Times New Roman" w:hAnsi="Times New Roman"/>
        </w:rPr>
        <w:t xml:space="preserve"> </w:t>
      </w:r>
      <w:r>
        <w:rPr>
          <w:rFonts w:ascii="Times New Roman" w:eastAsia="Times New Roman" w:hAnsi="Times New Roman"/>
        </w:rPr>
        <w:t>Расходы в интернете запрашивались в Digital Budget.</w:t>
      </w:r>
      <w:r w:rsidR="00D10DF1">
        <w:rPr>
          <w:rFonts w:ascii="Times New Roman" w:eastAsia="Times New Roman" w:hAnsi="Times New Roman"/>
        </w:rPr>
        <w:t xml:space="preserve"> </w:t>
      </w:r>
    </w:p>
    <w:p w14:paraId="50CF7C99" w14:textId="31DD2FD4" w:rsidR="00D10DF1" w:rsidRDefault="00D10DF1" w:rsidP="00D10DF1">
      <w:pPr>
        <w:ind w:right="1075"/>
        <w:rPr>
          <w:rFonts w:ascii="Times New Roman" w:hAnsi="Times New Roman"/>
        </w:rPr>
      </w:pPr>
      <w:r w:rsidRPr="00B2344C">
        <w:rPr>
          <w:rFonts w:ascii="Times New Roman" w:hAnsi="Times New Roman"/>
        </w:rPr>
        <w:t xml:space="preserve">Ценовые бенчмарки сформированы на основе экспертизы медиабаинговых компаний и групп: Group4Media, Icontext </w:t>
      </w:r>
      <w:r w:rsidRPr="00B2344C">
        <w:rPr>
          <w:rFonts w:ascii="Times New Roman" w:hAnsi="Times New Roman"/>
          <w:lang w:val="en-US"/>
        </w:rPr>
        <w:t>Group</w:t>
      </w:r>
      <w:r w:rsidRPr="00B2344C">
        <w:rPr>
          <w:rFonts w:ascii="Times New Roman" w:hAnsi="Times New Roman"/>
        </w:rPr>
        <w:t>, Media Direction</w:t>
      </w:r>
      <w:r w:rsidR="00325384">
        <w:rPr>
          <w:rFonts w:ascii="Times New Roman" w:hAnsi="Times New Roman"/>
        </w:rPr>
        <w:t xml:space="preserve"> </w:t>
      </w:r>
      <w:r w:rsidR="00325384" w:rsidRPr="00B2344C">
        <w:rPr>
          <w:rFonts w:ascii="Times New Roman" w:hAnsi="Times New Roman"/>
          <w:lang w:val="en-US"/>
        </w:rPr>
        <w:t>Group</w:t>
      </w:r>
      <w:r w:rsidRPr="00B2344C">
        <w:rPr>
          <w:rFonts w:ascii="Times New Roman" w:hAnsi="Times New Roman"/>
        </w:rPr>
        <w:t xml:space="preserve">, Media Instinct </w:t>
      </w:r>
      <w:r w:rsidRPr="00B2344C">
        <w:rPr>
          <w:rFonts w:ascii="Times New Roman" w:hAnsi="Times New Roman"/>
          <w:lang w:val="en-US"/>
        </w:rPr>
        <w:t>Group</w:t>
      </w:r>
      <w:r w:rsidRPr="00B2344C">
        <w:rPr>
          <w:rFonts w:ascii="Times New Roman" w:hAnsi="Times New Roman"/>
        </w:rPr>
        <w:t xml:space="preserve">, Nmi </w:t>
      </w:r>
      <w:r w:rsidRPr="00B2344C">
        <w:rPr>
          <w:rFonts w:ascii="Times New Roman" w:hAnsi="Times New Roman"/>
          <w:lang w:val="en-US"/>
        </w:rPr>
        <w:t>Group</w:t>
      </w:r>
      <w:r w:rsidRPr="00B2344C">
        <w:rPr>
          <w:rFonts w:ascii="Times New Roman" w:hAnsi="Times New Roman"/>
        </w:rPr>
        <w:t xml:space="preserve">, Okkam, OMD OM </w:t>
      </w:r>
      <w:r w:rsidRPr="00B2344C">
        <w:rPr>
          <w:rFonts w:ascii="Times New Roman" w:hAnsi="Times New Roman"/>
          <w:lang w:val="en-US"/>
        </w:rPr>
        <w:t>Group</w:t>
      </w:r>
      <w:r w:rsidRPr="00B2344C">
        <w:rPr>
          <w:rFonts w:ascii="Times New Roman" w:hAnsi="Times New Roman"/>
        </w:rPr>
        <w:t xml:space="preserve">, Realweb, RTA:, SA Media, SkyAlliance, Starlink, Tandem </w:t>
      </w:r>
      <w:r w:rsidRPr="00B2344C">
        <w:rPr>
          <w:rFonts w:ascii="Times New Roman" w:hAnsi="Times New Roman"/>
          <w:lang w:val="en-US"/>
        </w:rPr>
        <w:t>Group</w:t>
      </w:r>
      <w:r w:rsidRPr="00B2344C">
        <w:rPr>
          <w:rFonts w:ascii="Times New Roman" w:hAnsi="Times New Roman"/>
        </w:rPr>
        <w:t>, «Родная Речь» и «Сбермаркетинг».</w:t>
      </w:r>
    </w:p>
    <w:p w14:paraId="0F51C803" w14:textId="4A91A764" w:rsidR="00F545C7" w:rsidRDefault="00000000" w:rsidP="00D10DF1">
      <w:pPr>
        <w:ind w:right="1075"/>
        <w:rPr>
          <w:rFonts w:ascii="Times New Roman" w:eastAsia="Times New Roman" w:hAnsi="Times New Roman"/>
        </w:rPr>
      </w:pPr>
      <w:r>
        <w:rPr>
          <w:rFonts w:ascii="Times New Roman" w:eastAsia="Times New Roman" w:hAnsi="Times New Roman"/>
        </w:rPr>
        <w:t>Бюджеты приводятся в млн рублей, без НДС.</w:t>
      </w:r>
    </w:p>
    <w:p w14:paraId="4F72D768" w14:textId="77777777" w:rsidR="00F545C7" w:rsidRDefault="00F545C7">
      <w:pPr>
        <w:rPr>
          <w:rFonts w:ascii="Times New Roman" w:eastAsia="Times New Roman" w:hAnsi="Times New Roman"/>
        </w:rPr>
      </w:pPr>
    </w:p>
    <w:p w14:paraId="03BE9317" w14:textId="0B6FBF84" w:rsidR="00F545C7" w:rsidRDefault="00000000">
      <w:pPr>
        <w:pBdr>
          <w:bottom w:val="single" w:sz="4" w:space="1" w:color="000000"/>
        </w:pBdr>
        <w:rPr>
          <w:rFonts w:ascii="Times New Roman" w:eastAsia="Times New Roman" w:hAnsi="Times New Roman"/>
          <w:b/>
        </w:rPr>
      </w:pPr>
      <w:r>
        <w:rPr>
          <w:rFonts w:ascii="Times New Roman" w:eastAsia="Times New Roman" w:hAnsi="Times New Roman"/>
          <w:b/>
        </w:rPr>
        <w:t xml:space="preserve">МЕТОДИКА ОЦЕНКИ БЮДЖЕТОВ </w:t>
      </w:r>
      <w:r w:rsidR="00D10DF1">
        <w:rPr>
          <w:rFonts w:ascii="Times New Roman" w:eastAsia="Times New Roman" w:hAnsi="Times New Roman"/>
          <w:b/>
        </w:rPr>
        <w:t>2024</w:t>
      </w:r>
      <w:r>
        <w:rPr>
          <w:rFonts w:ascii="Times New Roman" w:eastAsia="Times New Roman" w:hAnsi="Times New Roman"/>
          <w:b/>
        </w:rPr>
        <w:t xml:space="preserve"> ГОДА</w:t>
      </w:r>
    </w:p>
    <w:p w14:paraId="411D98D2" w14:textId="77777777" w:rsidR="00F545C7" w:rsidRDefault="00000000">
      <w:pPr>
        <w:rPr>
          <w:rFonts w:ascii="Times New Roman" w:eastAsia="Times New Roman" w:hAnsi="Times New Roman"/>
          <w:b/>
        </w:rPr>
      </w:pPr>
      <w:r>
        <w:rPr>
          <w:rFonts w:ascii="Times New Roman" w:eastAsia="Times New Roman" w:hAnsi="Times New Roman"/>
          <w:b/>
        </w:rPr>
        <w:t>ТВ</w:t>
      </w:r>
    </w:p>
    <w:p w14:paraId="277C845C" w14:textId="49DFF12F" w:rsidR="00F545C7" w:rsidRDefault="00000000">
      <w:pPr>
        <w:ind w:right="1075"/>
        <w:rPr>
          <w:rFonts w:ascii="Times New Roman" w:eastAsia="Times New Roman" w:hAnsi="Times New Roman"/>
        </w:rPr>
      </w:pPr>
      <w:r>
        <w:rPr>
          <w:rFonts w:ascii="Times New Roman" w:eastAsia="Times New Roman" w:hAnsi="Times New Roman"/>
        </w:rPr>
        <w:t>При оценке бюджетов на национальном (в т.ч. неэфирном, продаваемом по пунктам рейтинга) и региональном ТВ эмпирическим была выведена зависимость скидки от бюджета по оценке Mediascope. Полученная скидка применялась к данным мониторинга (бюджеты по прайс-листам) с применением в национальном ТВ бонусов в зависимости от месяца, отдельно по сетевой и орбитальной рекламе.</w:t>
      </w:r>
    </w:p>
    <w:p w14:paraId="6EEE8F9E" w14:textId="77777777" w:rsidR="00F545C7" w:rsidRPr="00D10DF1" w:rsidRDefault="00000000">
      <w:pPr>
        <w:ind w:right="1075"/>
        <w:rPr>
          <w:rFonts w:ascii="Times New Roman" w:eastAsia="Times New Roman" w:hAnsi="Times New Roman"/>
          <w:b/>
          <w:bCs/>
        </w:rPr>
      </w:pPr>
      <w:r w:rsidRPr="00D10DF1">
        <w:rPr>
          <w:rFonts w:ascii="Times New Roman" w:eastAsia="Times New Roman" w:hAnsi="Times New Roman"/>
          <w:b/>
          <w:bCs/>
        </w:rPr>
        <w:t>Этапы оценки</w:t>
      </w:r>
    </w:p>
    <w:p w14:paraId="51088434" w14:textId="0A342CFD" w:rsidR="00F545C7" w:rsidRDefault="00000000">
      <w:pPr>
        <w:ind w:right="1075"/>
        <w:rPr>
          <w:rFonts w:ascii="Times New Roman" w:eastAsia="Times New Roman" w:hAnsi="Times New Roman"/>
        </w:rPr>
      </w:pPr>
      <w:r>
        <w:rPr>
          <w:rFonts w:ascii="Times New Roman" w:eastAsia="Times New Roman" w:hAnsi="Times New Roman"/>
        </w:rPr>
        <w:t>1.</w:t>
      </w:r>
      <w:r>
        <w:rPr>
          <w:rFonts w:ascii="Times New Roman" w:eastAsia="Times New Roman" w:hAnsi="Times New Roman"/>
        </w:rPr>
        <w:tab/>
        <w:t>Определение зависимости дополнительной скидки от Rate Card по оценке Mediascope</w:t>
      </w:r>
      <w:r w:rsidR="00D10DF1">
        <w:rPr>
          <w:rFonts w:ascii="Times New Roman" w:eastAsia="Times New Roman" w:hAnsi="Times New Roman"/>
        </w:rPr>
        <w:t>.</w:t>
      </w:r>
    </w:p>
    <w:p w14:paraId="4EC496A2" w14:textId="02E8F116" w:rsidR="00F545C7" w:rsidRDefault="00000000">
      <w:pPr>
        <w:ind w:right="1075"/>
        <w:rPr>
          <w:rFonts w:ascii="Times New Roman" w:eastAsia="Times New Roman" w:hAnsi="Times New Roman"/>
        </w:rPr>
      </w:pPr>
      <w:r>
        <w:rPr>
          <w:rFonts w:ascii="Times New Roman" w:eastAsia="Times New Roman" w:hAnsi="Times New Roman"/>
        </w:rPr>
        <w:t>2.</w:t>
      </w:r>
      <w:r>
        <w:rPr>
          <w:rFonts w:ascii="Times New Roman" w:eastAsia="Times New Roman" w:hAnsi="Times New Roman"/>
        </w:rPr>
        <w:tab/>
        <w:t>Определение совокупного бюджета рекламодателя по Rate Card по оценке Mediascope</w:t>
      </w:r>
      <w:r w:rsidR="00D10DF1">
        <w:rPr>
          <w:rFonts w:ascii="Times New Roman" w:eastAsia="Times New Roman" w:hAnsi="Times New Roman"/>
        </w:rPr>
        <w:t xml:space="preserve"> </w:t>
      </w:r>
      <w:r>
        <w:rPr>
          <w:rFonts w:ascii="Times New Roman" w:eastAsia="Times New Roman" w:hAnsi="Times New Roman"/>
        </w:rPr>
        <w:t>в национальном, неэфирном и региональном ТВ (отдельно по Москве, Санкт-Петербургу и остальным городам мониторинга).</w:t>
      </w:r>
    </w:p>
    <w:p w14:paraId="66D39339" w14:textId="6067171B" w:rsidR="00F545C7" w:rsidRDefault="00000000">
      <w:pPr>
        <w:ind w:right="1075"/>
        <w:rPr>
          <w:rFonts w:ascii="Times New Roman" w:eastAsia="Times New Roman" w:hAnsi="Times New Roman"/>
        </w:rPr>
      </w:pPr>
      <w:r>
        <w:rPr>
          <w:rFonts w:ascii="Times New Roman" w:eastAsia="Times New Roman" w:hAnsi="Times New Roman"/>
        </w:rPr>
        <w:t>3.</w:t>
      </w:r>
      <w:r>
        <w:rPr>
          <w:rFonts w:ascii="Times New Roman" w:eastAsia="Times New Roman" w:hAnsi="Times New Roman"/>
        </w:rPr>
        <w:tab/>
        <w:t>Исключение из бюджетов по Mediascope</w:t>
      </w:r>
      <w:r w:rsidR="00D10DF1">
        <w:rPr>
          <w:rFonts w:ascii="Times New Roman" w:eastAsia="Times New Roman" w:hAnsi="Times New Roman"/>
        </w:rPr>
        <w:t xml:space="preserve"> </w:t>
      </w:r>
      <w:r>
        <w:rPr>
          <w:rFonts w:ascii="Times New Roman" w:eastAsia="Times New Roman" w:hAnsi="Times New Roman"/>
        </w:rPr>
        <w:t>объема бонусов по месяцам, отдельно по сетевым и орбитальным блокам, по формуле:</w:t>
      </w:r>
    </w:p>
    <w:p w14:paraId="5DC3F1C2" w14:textId="1202B0C2" w:rsidR="00F545C7" w:rsidRDefault="00000000">
      <w:pPr>
        <w:ind w:left="709" w:right="1075"/>
        <w:rPr>
          <w:rFonts w:ascii="Times New Roman" w:eastAsia="Times New Roman" w:hAnsi="Times New Roman"/>
        </w:rPr>
      </w:pPr>
      <w:r>
        <w:rPr>
          <w:rFonts w:ascii="Times New Roman" w:eastAsia="Times New Roman" w:hAnsi="Times New Roman"/>
        </w:rPr>
        <w:t>Бюджет Mediascope</w:t>
      </w:r>
      <w:r w:rsidR="00D10DF1">
        <w:rPr>
          <w:rFonts w:ascii="Times New Roman" w:eastAsia="Times New Roman" w:hAnsi="Times New Roman"/>
        </w:rPr>
        <w:t xml:space="preserve"> </w:t>
      </w:r>
      <w:r>
        <w:rPr>
          <w:rFonts w:ascii="Times New Roman" w:eastAsia="Times New Roman" w:hAnsi="Times New Roman"/>
        </w:rPr>
        <w:t>без бонусов = бюджет Mediascope</w:t>
      </w:r>
      <w:r w:rsidR="00D10DF1">
        <w:rPr>
          <w:rFonts w:ascii="Times New Roman" w:eastAsia="Times New Roman" w:hAnsi="Times New Roman"/>
        </w:rPr>
        <w:t xml:space="preserve"> </w:t>
      </w:r>
      <w:r>
        <w:rPr>
          <w:rFonts w:ascii="Times New Roman" w:eastAsia="Times New Roman" w:hAnsi="Times New Roman"/>
        </w:rPr>
        <w:t>_янв_сеть / (1 + бонусы_сеть_янв) + ... + бюджет из Mediascope</w:t>
      </w:r>
      <w:r w:rsidR="00D10DF1">
        <w:rPr>
          <w:rFonts w:ascii="Times New Roman" w:eastAsia="Times New Roman" w:hAnsi="Times New Roman"/>
        </w:rPr>
        <w:t xml:space="preserve"> </w:t>
      </w:r>
      <w:r>
        <w:rPr>
          <w:rFonts w:ascii="Times New Roman" w:eastAsia="Times New Roman" w:hAnsi="Times New Roman"/>
        </w:rPr>
        <w:t>_дек_орб / (1 + бонусы_орб_дек).</w:t>
      </w:r>
    </w:p>
    <w:p w14:paraId="411E8993" w14:textId="77777777" w:rsidR="00F545C7" w:rsidRDefault="00000000">
      <w:pPr>
        <w:ind w:left="567" w:right="1075" w:hanging="567"/>
        <w:rPr>
          <w:rFonts w:ascii="Times New Roman" w:eastAsia="Times New Roman" w:hAnsi="Times New Roman"/>
        </w:rPr>
      </w:pPr>
      <w:r>
        <w:rPr>
          <w:rFonts w:ascii="Times New Roman" w:eastAsia="Times New Roman" w:hAnsi="Times New Roman"/>
        </w:rPr>
        <w:t>4.</w:t>
      </w:r>
      <w:r>
        <w:rPr>
          <w:rFonts w:ascii="Times New Roman" w:eastAsia="Times New Roman" w:hAnsi="Times New Roman"/>
        </w:rPr>
        <w:tab/>
        <w:t xml:space="preserve">Расчет итогового бюджета рекламодателя по формуле Z = X * (1 - Y), где </w:t>
      </w:r>
    </w:p>
    <w:p w14:paraId="4B90AE09" w14:textId="77777777" w:rsidR="00F545C7" w:rsidRDefault="00000000">
      <w:pPr>
        <w:spacing w:line="240" w:lineRule="auto"/>
        <w:ind w:left="709" w:right="1075"/>
        <w:rPr>
          <w:rFonts w:ascii="Times New Roman" w:eastAsia="Times New Roman" w:hAnsi="Times New Roman"/>
        </w:rPr>
      </w:pPr>
      <w:r>
        <w:rPr>
          <w:rFonts w:ascii="Times New Roman" w:eastAsia="Times New Roman" w:hAnsi="Times New Roman"/>
        </w:rPr>
        <w:t>Z - оценка реального бюджета клиента в национальном ТВ (сеть + орбита)</w:t>
      </w:r>
    </w:p>
    <w:p w14:paraId="08715CC0" w14:textId="2A7EA01C" w:rsidR="00F545C7" w:rsidRDefault="00000000">
      <w:pPr>
        <w:spacing w:line="240" w:lineRule="auto"/>
        <w:ind w:left="709" w:right="1075"/>
        <w:rPr>
          <w:rFonts w:ascii="Times New Roman" w:eastAsia="Times New Roman" w:hAnsi="Times New Roman"/>
        </w:rPr>
      </w:pPr>
      <w:r>
        <w:rPr>
          <w:rFonts w:ascii="Times New Roman" w:eastAsia="Times New Roman" w:hAnsi="Times New Roman"/>
        </w:rPr>
        <w:t>Х - бюджет клиента по Mediascope, уменьшенный на эстимированный объем бонусов</w:t>
      </w:r>
    </w:p>
    <w:p w14:paraId="7FFFDE2E" w14:textId="77777777" w:rsidR="00F545C7" w:rsidRDefault="00000000">
      <w:pPr>
        <w:spacing w:line="240" w:lineRule="auto"/>
        <w:ind w:left="709" w:right="1075"/>
        <w:rPr>
          <w:rFonts w:ascii="Times New Roman" w:eastAsia="Times New Roman" w:hAnsi="Times New Roman"/>
        </w:rPr>
      </w:pPr>
      <w:r>
        <w:rPr>
          <w:rFonts w:ascii="Times New Roman" w:eastAsia="Times New Roman" w:hAnsi="Times New Roman"/>
        </w:rPr>
        <w:t>Y - экспертно определенный размер скидки</w:t>
      </w:r>
    </w:p>
    <w:p w14:paraId="15FB7FE7" w14:textId="77777777" w:rsidR="00F545C7" w:rsidRDefault="00000000">
      <w:pPr>
        <w:spacing w:line="240" w:lineRule="auto"/>
        <w:ind w:left="709" w:right="1075"/>
        <w:rPr>
          <w:rFonts w:ascii="Times New Roman" w:eastAsia="Times New Roman" w:hAnsi="Times New Roman"/>
        </w:rPr>
      </w:pPr>
      <w:r>
        <w:rPr>
          <w:rFonts w:ascii="Times New Roman" w:eastAsia="Times New Roman" w:hAnsi="Times New Roman"/>
        </w:rPr>
        <w:t>Итоговая формула расчета скидки выводилась экспертным опросом.</w:t>
      </w:r>
    </w:p>
    <w:p w14:paraId="6C6677B0" w14:textId="74F01969" w:rsidR="00F545C7" w:rsidRDefault="00000000">
      <w:pPr>
        <w:spacing w:line="360" w:lineRule="auto"/>
        <w:rPr>
          <w:rFonts w:ascii="Times New Roman" w:eastAsia="Times New Roman" w:hAnsi="Times New Roman"/>
          <w:b/>
        </w:rPr>
      </w:pPr>
      <w:r>
        <w:rPr>
          <w:rFonts w:ascii="Times New Roman" w:eastAsia="Times New Roman" w:hAnsi="Times New Roman"/>
          <w:b/>
        </w:rPr>
        <w:t xml:space="preserve">НОВОЕ В </w:t>
      </w:r>
      <w:r w:rsidR="00D10DF1">
        <w:rPr>
          <w:rFonts w:ascii="Times New Roman" w:eastAsia="Times New Roman" w:hAnsi="Times New Roman"/>
          <w:b/>
        </w:rPr>
        <w:t>2024</w:t>
      </w:r>
      <w:r>
        <w:rPr>
          <w:rFonts w:ascii="Times New Roman" w:eastAsia="Times New Roman" w:hAnsi="Times New Roman"/>
          <w:b/>
        </w:rPr>
        <w:t xml:space="preserve"> ГОДУ</w:t>
      </w:r>
    </w:p>
    <w:p w14:paraId="320A92AD" w14:textId="35CC54C6" w:rsidR="00F545C7" w:rsidRPr="00D10DF1" w:rsidRDefault="00000000">
      <w:pPr>
        <w:numPr>
          <w:ilvl w:val="0"/>
          <w:numId w:val="5"/>
        </w:numPr>
        <w:pBdr>
          <w:top w:val="nil"/>
          <w:left w:val="nil"/>
          <w:bottom w:val="nil"/>
          <w:right w:val="nil"/>
          <w:between w:val="nil"/>
        </w:pBdr>
        <w:spacing w:after="0" w:line="360" w:lineRule="auto"/>
        <w:rPr>
          <w:rFonts w:ascii="Times New Roman" w:eastAsia="Times New Roman" w:hAnsi="Times New Roman"/>
          <w:color w:val="000000"/>
        </w:rPr>
      </w:pPr>
      <w:r>
        <w:rPr>
          <w:rFonts w:ascii="Times New Roman" w:eastAsia="Times New Roman" w:hAnsi="Times New Roman"/>
          <w:color w:val="000000"/>
        </w:rPr>
        <w:lastRenderedPageBreak/>
        <w:t>К бюджетам рекламодателей на национальном ТВ</w:t>
      </w:r>
      <w:r w:rsidR="00D10DF1">
        <w:rPr>
          <w:rFonts w:ascii="Times New Roman" w:eastAsia="Times New Roman" w:hAnsi="Times New Roman"/>
          <w:color w:val="000000"/>
        </w:rPr>
        <w:t xml:space="preserve"> в </w:t>
      </w:r>
      <w:r w:rsidR="00D10DF1">
        <w:rPr>
          <w:rFonts w:ascii="Times New Roman" w:eastAsia="Times New Roman" w:hAnsi="Times New Roman"/>
          <w:color w:val="000000"/>
          <w:lang w:val="en-US"/>
        </w:rPr>
        <w:t>II</w:t>
      </w:r>
      <w:r w:rsidR="00D10DF1" w:rsidRPr="00D10DF1">
        <w:rPr>
          <w:rFonts w:ascii="Times New Roman" w:eastAsia="Times New Roman" w:hAnsi="Times New Roman"/>
          <w:color w:val="000000"/>
        </w:rPr>
        <w:t xml:space="preserve"> </w:t>
      </w:r>
      <w:r w:rsidR="00D10DF1">
        <w:rPr>
          <w:rFonts w:ascii="Times New Roman" w:eastAsia="Times New Roman" w:hAnsi="Times New Roman"/>
          <w:color w:val="000000"/>
        </w:rPr>
        <w:t xml:space="preserve">полугодии </w:t>
      </w:r>
      <w:r>
        <w:rPr>
          <w:rFonts w:ascii="Times New Roman" w:eastAsia="Times New Roman" w:hAnsi="Times New Roman"/>
          <w:color w:val="000000"/>
        </w:rPr>
        <w:t xml:space="preserve">применялась </w:t>
      </w:r>
      <w:r w:rsidR="00D10DF1">
        <w:rPr>
          <w:rFonts w:ascii="Times New Roman" w:eastAsia="Times New Roman" w:hAnsi="Times New Roman"/>
          <w:color w:val="000000"/>
        </w:rPr>
        <w:t xml:space="preserve">дополнительная </w:t>
      </w:r>
      <w:r>
        <w:rPr>
          <w:rFonts w:ascii="Times New Roman" w:eastAsia="Times New Roman" w:hAnsi="Times New Roman"/>
          <w:color w:val="000000"/>
        </w:rPr>
        <w:t>наценка</w:t>
      </w:r>
      <w:r>
        <w:rPr>
          <w:rFonts w:ascii="Times New Roman" w:eastAsia="Times New Roman" w:hAnsi="Times New Roman"/>
        </w:rPr>
        <w:t xml:space="preserve">, </w:t>
      </w:r>
      <w:r w:rsidR="00D10DF1">
        <w:rPr>
          <w:rFonts w:ascii="Times New Roman" w:eastAsia="Times New Roman" w:hAnsi="Times New Roman"/>
        </w:rPr>
        <w:t>определенная экспертным опросом.</w:t>
      </w:r>
    </w:p>
    <w:p w14:paraId="1E598CBB" w14:textId="77777777" w:rsidR="00D10DF1" w:rsidRPr="00D10DF1" w:rsidRDefault="00D10DF1" w:rsidP="00D10DF1">
      <w:pPr>
        <w:pBdr>
          <w:top w:val="nil"/>
          <w:left w:val="nil"/>
          <w:bottom w:val="nil"/>
          <w:right w:val="nil"/>
          <w:between w:val="nil"/>
        </w:pBdr>
        <w:spacing w:after="0" w:line="360" w:lineRule="auto"/>
        <w:ind w:left="720"/>
        <w:rPr>
          <w:rFonts w:ascii="Times New Roman" w:eastAsia="Times New Roman" w:hAnsi="Times New Roman"/>
          <w:color w:val="000000"/>
        </w:rPr>
      </w:pPr>
    </w:p>
    <w:p w14:paraId="3B7EF23D" w14:textId="77777777" w:rsidR="00F545C7" w:rsidRDefault="00000000">
      <w:pPr>
        <w:rPr>
          <w:rFonts w:ascii="Times New Roman" w:eastAsia="Times New Roman" w:hAnsi="Times New Roman"/>
          <w:b/>
        </w:rPr>
      </w:pPr>
      <w:r>
        <w:rPr>
          <w:rFonts w:ascii="Times New Roman" w:eastAsia="Times New Roman" w:hAnsi="Times New Roman"/>
          <w:b/>
        </w:rPr>
        <w:t>СПОНСОРСКОЕ ТВ</w:t>
      </w:r>
    </w:p>
    <w:p w14:paraId="101FD02D" w14:textId="77777777" w:rsidR="00F545C7" w:rsidRDefault="00000000">
      <w:pPr>
        <w:ind w:right="1075"/>
        <w:rPr>
          <w:rFonts w:ascii="Times New Roman" w:eastAsia="Times New Roman" w:hAnsi="Times New Roman"/>
        </w:rPr>
      </w:pPr>
      <w:r>
        <w:rPr>
          <w:rFonts w:ascii="Times New Roman" w:eastAsia="Times New Roman" w:hAnsi="Times New Roman"/>
        </w:rPr>
        <w:t>При оценке электронного спонсорства (заставки) для каждого телеканала в ходе опроса баинговых экспертов определяется СРР спонсорской заставки. В зависимости от накопленного бюджета рекламодатели были разделены на три кластера, в каждом из которых принимался поправочный коэффициент. Телемагазины выделялись в отдельный кластер. Перечень таких рекламодателей определялся экспертным опросом.</w:t>
      </w:r>
    </w:p>
    <w:tbl>
      <w:tblPr>
        <w:tblStyle w:val="ac"/>
        <w:tblW w:w="6733" w:type="dxa"/>
        <w:tblInd w:w="0" w:type="dxa"/>
        <w:tblLayout w:type="fixed"/>
        <w:tblLook w:val="0400" w:firstRow="0" w:lastRow="0" w:firstColumn="0" w:lastColumn="0" w:noHBand="0" w:noVBand="1"/>
      </w:tblPr>
      <w:tblGrid>
        <w:gridCol w:w="1260"/>
        <w:gridCol w:w="3980"/>
        <w:gridCol w:w="1493"/>
      </w:tblGrid>
      <w:tr w:rsidR="00F545C7" w14:paraId="64ED2F5B" w14:textId="77777777">
        <w:trPr>
          <w:trHeight w:val="87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8202CC" w14:textId="77777777" w:rsidR="00F545C7" w:rsidRDefault="00000000">
            <w:pPr>
              <w:spacing w:after="0" w:line="240" w:lineRule="auto"/>
              <w:jc w:val="center"/>
              <w:rPr>
                <w:color w:val="000000"/>
              </w:rPr>
            </w:pPr>
            <w:r>
              <w:rPr>
                <w:color w:val="000000"/>
              </w:rPr>
              <w:t>Кластер</w:t>
            </w:r>
          </w:p>
        </w:tc>
        <w:tc>
          <w:tcPr>
            <w:tcW w:w="3980" w:type="dxa"/>
            <w:tcBorders>
              <w:top w:val="single" w:sz="4" w:space="0" w:color="000000"/>
              <w:left w:val="nil"/>
              <w:bottom w:val="single" w:sz="4" w:space="0" w:color="000000"/>
              <w:right w:val="single" w:sz="4" w:space="0" w:color="000000"/>
            </w:tcBorders>
            <w:shd w:val="clear" w:color="auto" w:fill="auto"/>
            <w:vAlign w:val="bottom"/>
          </w:tcPr>
          <w:p w14:paraId="29B22BA5" w14:textId="77777777" w:rsidR="00F545C7" w:rsidRDefault="00000000">
            <w:pPr>
              <w:spacing w:after="0" w:line="240" w:lineRule="auto"/>
              <w:rPr>
                <w:b/>
                <w:color w:val="000000"/>
              </w:rPr>
            </w:pPr>
            <w:r>
              <w:rPr>
                <w:b/>
                <w:color w:val="000000"/>
              </w:rPr>
              <w:t>Границы кластеров, % накопленным итогом</w:t>
            </w:r>
          </w:p>
        </w:tc>
        <w:tc>
          <w:tcPr>
            <w:tcW w:w="1493" w:type="dxa"/>
            <w:tcBorders>
              <w:top w:val="single" w:sz="4" w:space="0" w:color="000000"/>
              <w:left w:val="nil"/>
              <w:bottom w:val="single" w:sz="4" w:space="0" w:color="000000"/>
              <w:right w:val="single" w:sz="4" w:space="0" w:color="000000"/>
            </w:tcBorders>
            <w:shd w:val="clear" w:color="auto" w:fill="auto"/>
            <w:vAlign w:val="bottom"/>
          </w:tcPr>
          <w:p w14:paraId="3341231F" w14:textId="77777777" w:rsidR="00F545C7" w:rsidRDefault="00000000">
            <w:pPr>
              <w:spacing w:after="0" w:line="240" w:lineRule="auto"/>
              <w:rPr>
                <w:color w:val="000000"/>
              </w:rPr>
            </w:pPr>
            <w:r>
              <w:rPr>
                <w:color w:val="000000"/>
              </w:rPr>
              <w:t>Коэффициент</w:t>
            </w:r>
          </w:p>
        </w:tc>
      </w:tr>
      <w:tr w:rsidR="00F545C7" w14:paraId="62791895" w14:textId="77777777">
        <w:trPr>
          <w:trHeight w:val="330"/>
        </w:trPr>
        <w:tc>
          <w:tcPr>
            <w:tcW w:w="1260" w:type="dxa"/>
            <w:tcBorders>
              <w:top w:val="nil"/>
              <w:left w:val="single" w:sz="4" w:space="0" w:color="000000"/>
              <w:bottom w:val="single" w:sz="4" w:space="0" w:color="000000"/>
              <w:right w:val="single" w:sz="4" w:space="0" w:color="000000"/>
            </w:tcBorders>
            <w:shd w:val="clear" w:color="auto" w:fill="00B050"/>
            <w:vAlign w:val="bottom"/>
          </w:tcPr>
          <w:p w14:paraId="7A3EA0C1" w14:textId="77777777" w:rsidR="00F545C7" w:rsidRDefault="00000000">
            <w:pPr>
              <w:spacing w:after="0" w:line="240" w:lineRule="auto"/>
              <w:jc w:val="center"/>
              <w:rPr>
                <w:color w:val="000000"/>
              </w:rPr>
            </w:pPr>
            <w:r>
              <w:rPr>
                <w:color w:val="000000"/>
              </w:rPr>
              <w:t>1</w:t>
            </w:r>
          </w:p>
        </w:tc>
        <w:tc>
          <w:tcPr>
            <w:tcW w:w="3980" w:type="dxa"/>
            <w:tcBorders>
              <w:top w:val="nil"/>
              <w:left w:val="nil"/>
              <w:bottom w:val="single" w:sz="4" w:space="0" w:color="000000"/>
              <w:right w:val="single" w:sz="4" w:space="0" w:color="000000"/>
            </w:tcBorders>
            <w:shd w:val="clear" w:color="auto" w:fill="auto"/>
            <w:vAlign w:val="bottom"/>
          </w:tcPr>
          <w:p w14:paraId="4FA9FF21" w14:textId="77777777" w:rsidR="00F545C7" w:rsidRDefault="00000000">
            <w:pPr>
              <w:spacing w:after="0" w:line="240" w:lineRule="auto"/>
              <w:rPr>
                <w:color w:val="000000"/>
              </w:rPr>
            </w:pPr>
            <w:r>
              <w:rPr>
                <w:color w:val="000000"/>
              </w:rPr>
              <w:t>15-75%</w:t>
            </w:r>
          </w:p>
        </w:tc>
        <w:tc>
          <w:tcPr>
            <w:tcW w:w="1493" w:type="dxa"/>
            <w:tcBorders>
              <w:top w:val="nil"/>
              <w:left w:val="nil"/>
              <w:bottom w:val="single" w:sz="4" w:space="0" w:color="000000"/>
              <w:right w:val="single" w:sz="4" w:space="0" w:color="000000"/>
            </w:tcBorders>
            <w:shd w:val="clear" w:color="auto" w:fill="auto"/>
            <w:vAlign w:val="bottom"/>
          </w:tcPr>
          <w:p w14:paraId="47AD67EF" w14:textId="77777777" w:rsidR="00F545C7" w:rsidRDefault="00000000">
            <w:pPr>
              <w:spacing w:after="0" w:line="240" w:lineRule="auto"/>
              <w:jc w:val="center"/>
              <w:rPr>
                <w:color w:val="000000"/>
              </w:rPr>
            </w:pPr>
            <w:r>
              <w:rPr>
                <w:color w:val="000000"/>
              </w:rPr>
              <w:t>0,25</w:t>
            </w:r>
          </w:p>
        </w:tc>
      </w:tr>
      <w:tr w:rsidR="00F545C7" w14:paraId="39A733E1" w14:textId="77777777">
        <w:trPr>
          <w:trHeight w:val="290"/>
        </w:trPr>
        <w:tc>
          <w:tcPr>
            <w:tcW w:w="1260" w:type="dxa"/>
            <w:tcBorders>
              <w:top w:val="nil"/>
              <w:left w:val="single" w:sz="4" w:space="0" w:color="000000"/>
              <w:bottom w:val="single" w:sz="4" w:space="0" w:color="000000"/>
              <w:right w:val="single" w:sz="4" w:space="0" w:color="000000"/>
            </w:tcBorders>
            <w:shd w:val="clear" w:color="auto" w:fill="00B0F0"/>
            <w:vAlign w:val="bottom"/>
          </w:tcPr>
          <w:p w14:paraId="5AB10762" w14:textId="77777777" w:rsidR="00F545C7" w:rsidRDefault="00000000">
            <w:pPr>
              <w:spacing w:after="0" w:line="240" w:lineRule="auto"/>
              <w:jc w:val="center"/>
              <w:rPr>
                <w:color w:val="000000"/>
              </w:rPr>
            </w:pPr>
            <w:r>
              <w:rPr>
                <w:color w:val="000000"/>
              </w:rPr>
              <w:t>2</w:t>
            </w:r>
          </w:p>
        </w:tc>
        <w:tc>
          <w:tcPr>
            <w:tcW w:w="3980" w:type="dxa"/>
            <w:tcBorders>
              <w:top w:val="nil"/>
              <w:left w:val="nil"/>
              <w:bottom w:val="single" w:sz="4" w:space="0" w:color="000000"/>
              <w:right w:val="single" w:sz="4" w:space="0" w:color="000000"/>
            </w:tcBorders>
            <w:shd w:val="clear" w:color="auto" w:fill="auto"/>
            <w:vAlign w:val="bottom"/>
          </w:tcPr>
          <w:p w14:paraId="54753316" w14:textId="77777777" w:rsidR="00F545C7" w:rsidRDefault="00000000">
            <w:pPr>
              <w:spacing w:after="0" w:line="240" w:lineRule="auto"/>
              <w:rPr>
                <w:color w:val="000000"/>
              </w:rPr>
            </w:pPr>
            <w:r>
              <w:rPr>
                <w:color w:val="000000"/>
              </w:rPr>
              <w:t>75%-90%</w:t>
            </w:r>
          </w:p>
        </w:tc>
        <w:tc>
          <w:tcPr>
            <w:tcW w:w="1493" w:type="dxa"/>
            <w:tcBorders>
              <w:top w:val="nil"/>
              <w:left w:val="nil"/>
              <w:bottom w:val="single" w:sz="4" w:space="0" w:color="000000"/>
              <w:right w:val="single" w:sz="4" w:space="0" w:color="000000"/>
            </w:tcBorders>
            <w:shd w:val="clear" w:color="auto" w:fill="auto"/>
            <w:vAlign w:val="bottom"/>
          </w:tcPr>
          <w:p w14:paraId="2F35AFD4" w14:textId="77777777" w:rsidR="00F545C7" w:rsidRDefault="00000000">
            <w:pPr>
              <w:spacing w:after="0" w:line="240" w:lineRule="auto"/>
              <w:jc w:val="center"/>
              <w:rPr>
                <w:color w:val="000000"/>
              </w:rPr>
            </w:pPr>
            <w:r>
              <w:rPr>
                <w:color w:val="000000"/>
              </w:rPr>
              <w:t>0,</w:t>
            </w:r>
            <w:r>
              <w:t>5</w:t>
            </w:r>
          </w:p>
        </w:tc>
      </w:tr>
      <w:tr w:rsidR="00F545C7" w14:paraId="5AB9D674" w14:textId="77777777">
        <w:trPr>
          <w:trHeight w:val="330"/>
        </w:trPr>
        <w:tc>
          <w:tcPr>
            <w:tcW w:w="1260" w:type="dxa"/>
            <w:tcBorders>
              <w:top w:val="nil"/>
              <w:left w:val="single" w:sz="4" w:space="0" w:color="000000"/>
              <w:bottom w:val="single" w:sz="4" w:space="0" w:color="000000"/>
              <w:right w:val="single" w:sz="4" w:space="0" w:color="000000"/>
            </w:tcBorders>
            <w:shd w:val="clear" w:color="auto" w:fill="FF0000"/>
            <w:vAlign w:val="bottom"/>
          </w:tcPr>
          <w:p w14:paraId="5E7E0CBD" w14:textId="77777777" w:rsidR="00F545C7" w:rsidRDefault="00000000">
            <w:pPr>
              <w:spacing w:after="0" w:line="240" w:lineRule="auto"/>
              <w:jc w:val="center"/>
              <w:rPr>
                <w:color w:val="000000"/>
              </w:rPr>
            </w:pPr>
            <w:r>
              <w:rPr>
                <w:color w:val="000000"/>
              </w:rPr>
              <w:t>3</w:t>
            </w:r>
          </w:p>
        </w:tc>
        <w:tc>
          <w:tcPr>
            <w:tcW w:w="3980" w:type="dxa"/>
            <w:tcBorders>
              <w:top w:val="nil"/>
              <w:left w:val="nil"/>
              <w:bottom w:val="single" w:sz="4" w:space="0" w:color="000000"/>
              <w:right w:val="single" w:sz="4" w:space="0" w:color="000000"/>
            </w:tcBorders>
            <w:shd w:val="clear" w:color="auto" w:fill="auto"/>
            <w:vAlign w:val="bottom"/>
          </w:tcPr>
          <w:p w14:paraId="24BB8BDF" w14:textId="77777777" w:rsidR="00F545C7" w:rsidRDefault="00000000">
            <w:pPr>
              <w:spacing w:after="0" w:line="240" w:lineRule="auto"/>
              <w:rPr>
                <w:color w:val="000000"/>
              </w:rPr>
            </w:pPr>
            <w:r>
              <w:rPr>
                <w:color w:val="000000"/>
              </w:rPr>
              <w:t>Более 90%</w:t>
            </w:r>
          </w:p>
        </w:tc>
        <w:tc>
          <w:tcPr>
            <w:tcW w:w="1493" w:type="dxa"/>
            <w:tcBorders>
              <w:top w:val="nil"/>
              <w:left w:val="nil"/>
              <w:bottom w:val="single" w:sz="4" w:space="0" w:color="000000"/>
              <w:right w:val="single" w:sz="4" w:space="0" w:color="000000"/>
            </w:tcBorders>
            <w:shd w:val="clear" w:color="auto" w:fill="auto"/>
            <w:vAlign w:val="bottom"/>
          </w:tcPr>
          <w:p w14:paraId="49F1C25A" w14:textId="77777777" w:rsidR="00F545C7" w:rsidRDefault="00000000">
            <w:pPr>
              <w:spacing w:after="0" w:line="240" w:lineRule="auto"/>
              <w:jc w:val="center"/>
              <w:rPr>
                <w:color w:val="000000"/>
              </w:rPr>
            </w:pPr>
            <w:r>
              <w:rPr>
                <w:color w:val="000000"/>
              </w:rPr>
              <w:t>1</w:t>
            </w:r>
          </w:p>
        </w:tc>
      </w:tr>
      <w:tr w:rsidR="00F545C7" w14:paraId="2E3123B3" w14:textId="77777777">
        <w:trPr>
          <w:trHeight w:val="290"/>
        </w:trPr>
        <w:tc>
          <w:tcPr>
            <w:tcW w:w="1260" w:type="dxa"/>
            <w:tcBorders>
              <w:top w:val="nil"/>
              <w:left w:val="single" w:sz="4" w:space="0" w:color="000000"/>
              <w:bottom w:val="single" w:sz="4" w:space="0" w:color="000000"/>
              <w:right w:val="single" w:sz="4" w:space="0" w:color="000000"/>
            </w:tcBorders>
            <w:shd w:val="clear" w:color="auto" w:fill="FFFF00"/>
            <w:vAlign w:val="bottom"/>
          </w:tcPr>
          <w:p w14:paraId="2664FF3A" w14:textId="77777777" w:rsidR="00F545C7" w:rsidRDefault="00000000">
            <w:pPr>
              <w:spacing w:after="0" w:line="240" w:lineRule="auto"/>
              <w:jc w:val="center"/>
              <w:rPr>
                <w:color w:val="000000"/>
              </w:rPr>
            </w:pPr>
            <w:r>
              <w:rPr>
                <w:color w:val="000000"/>
              </w:rPr>
              <w:t>0</w:t>
            </w:r>
          </w:p>
        </w:tc>
        <w:tc>
          <w:tcPr>
            <w:tcW w:w="3980" w:type="dxa"/>
            <w:tcBorders>
              <w:top w:val="nil"/>
              <w:left w:val="nil"/>
              <w:bottom w:val="single" w:sz="4" w:space="0" w:color="000000"/>
              <w:right w:val="single" w:sz="4" w:space="0" w:color="000000"/>
            </w:tcBorders>
            <w:shd w:val="clear" w:color="auto" w:fill="auto"/>
            <w:vAlign w:val="bottom"/>
          </w:tcPr>
          <w:p w14:paraId="0BA01ACE" w14:textId="77777777" w:rsidR="00F545C7" w:rsidRDefault="00000000">
            <w:pPr>
              <w:spacing w:after="0" w:line="240" w:lineRule="auto"/>
              <w:rPr>
                <w:color w:val="000000"/>
              </w:rPr>
            </w:pPr>
            <w:r>
              <w:rPr>
                <w:color w:val="000000"/>
              </w:rPr>
              <w:t>Телемагазины</w:t>
            </w:r>
          </w:p>
        </w:tc>
        <w:tc>
          <w:tcPr>
            <w:tcW w:w="1493" w:type="dxa"/>
            <w:tcBorders>
              <w:top w:val="nil"/>
              <w:left w:val="nil"/>
              <w:bottom w:val="single" w:sz="4" w:space="0" w:color="000000"/>
              <w:right w:val="single" w:sz="4" w:space="0" w:color="000000"/>
            </w:tcBorders>
            <w:shd w:val="clear" w:color="auto" w:fill="auto"/>
            <w:vAlign w:val="bottom"/>
          </w:tcPr>
          <w:p w14:paraId="1831164C" w14:textId="77777777" w:rsidR="00F545C7" w:rsidRDefault="00000000">
            <w:pPr>
              <w:spacing w:after="0" w:line="240" w:lineRule="auto"/>
              <w:jc w:val="center"/>
              <w:rPr>
                <w:color w:val="000000"/>
              </w:rPr>
            </w:pPr>
            <w:r>
              <w:rPr>
                <w:color w:val="000000"/>
              </w:rPr>
              <w:t>0,0</w:t>
            </w:r>
            <w:r>
              <w:t>2</w:t>
            </w:r>
          </w:p>
        </w:tc>
      </w:tr>
    </w:tbl>
    <w:p w14:paraId="06DADC2C" w14:textId="77777777" w:rsidR="000D0041" w:rsidRDefault="000D0041">
      <w:pPr>
        <w:ind w:right="1075"/>
        <w:rPr>
          <w:rFonts w:ascii="Times New Roman" w:eastAsia="Times New Roman" w:hAnsi="Times New Roman"/>
        </w:rPr>
      </w:pPr>
    </w:p>
    <w:p w14:paraId="7FFC01D3" w14:textId="70E11B22" w:rsidR="00F545C7" w:rsidRDefault="00000000">
      <w:pPr>
        <w:ind w:right="1075"/>
        <w:rPr>
          <w:rFonts w:ascii="Times New Roman" w:eastAsia="Times New Roman" w:hAnsi="Times New Roman"/>
        </w:rPr>
      </w:pPr>
      <w:r>
        <w:rPr>
          <w:rFonts w:ascii="Times New Roman" w:eastAsia="Times New Roman" w:hAnsi="Times New Roman"/>
        </w:rPr>
        <w:t xml:space="preserve">В спонсорские бюджеты на ТВ, помимо заставок, включаются все попадающие в мониторинг интеграции. Для этого в рамках опроса выясняется стоимость присутствия брендов в контенте каналов. (когда продукт рекламируется в ходе передачи или иным образом интегрирован в контент), которая затем умножается на длительность демонстрации продукта по мониторингу. </w:t>
      </w:r>
    </w:p>
    <w:p w14:paraId="01DEEC93" w14:textId="77777777" w:rsidR="00F545C7" w:rsidRDefault="00000000">
      <w:pPr>
        <w:ind w:right="1075"/>
        <w:rPr>
          <w:rFonts w:ascii="Times New Roman" w:eastAsia="Times New Roman" w:hAnsi="Times New Roman"/>
          <w:b/>
        </w:rPr>
      </w:pPr>
      <w:r>
        <w:rPr>
          <w:rFonts w:ascii="Times New Roman" w:eastAsia="Times New Roman" w:hAnsi="Times New Roman"/>
          <w:b/>
        </w:rPr>
        <w:t>НИШЕВОЕ ТВ</w:t>
      </w:r>
    </w:p>
    <w:p w14:paraId="60266CB0" w14:textId="174E6F72" w:rsidR="00F545C7" w:rsidRDefault="00000000">
      <w:pPr>
        <w:ind w:right="1075"/>
        <w:rPr>
          <w:rFonts w:ascii="Times New Roman" w:eastAsia="Times New Roman" w:hAnsi="Times New Roman"/>
        </w:rPr>
      </w:pPr>
      <w:r>
        <w:rPr>
          <w:rFonts w:ascii="Times New Roman" w:eastAsia="Times New Roman" w:hAnsi="Times New Roman"/>
        </w:rPr>
        <w:t xml:space="preserve">Бюджеты неэфирных телеканалов, распространяющихся через кабель и спутник, оценивались через две статистики. Пулы каналов, входящие в пакеты НРА и продаваемые по пунктам рейтинга (так называемые рекламные каналы), оценивались через зависимость скидки от бюджета по оценке Mediascope. Четыре канала (1ТВЧ, Мульт, Мульт Плюс, Феникс) оценивались через среднюю стоимость пункта рейтинга (СРР). При оценке бюджетов на этих каналах учитывались сезонные особенности. </w:t>
      </w:r>
    </w:p>
    <w:p w14:paraId="3D247900" w14:textId="77777777" w:rsidR="00F545C7" w:rsidRDefault="00000000">
      <w:pPr>
        <w:ind w:right="1075"/>
        <w:rPr>
          <w:rFonts w:ascii="Times New Roman" w:eastAsia="Times New Roman" w:hAnsi="Times New Roman"/>
        </w:rPr>
      </w:pPr>
      <w:r>
        <w:rPr>
          <w:rFonts w:ascii="Times New Roman" w:eastAsia="Times New Roman" w:hAnsi="Times New Roman"/>
        </w:rPr>
        <w:t>Бюджеты каналов, продаваемых по минутам, оценивались через полученную в ходе опроса среднюю стоимость одной минуты рекламы для всех попадающих в мониторинг вещателей.</w:t>
      </w:r>
    </w:p>
    <w:p w14:paraId="3B42D668" w14:textId="77777777" w:rsidR="00F545C7" w:rsidRDefault="00000000">
      <w:pPr>
        <w:ind w:right="1075"/>
        <w:rPr>
          <w:rFonts w:ascii="Times New Roman" w:eastAsia="Times New Roman" w:hAnsi="Times New Roman"/>
          <w:b/>
        </w:rPr>
      </w:pPr>
      <w:r>
        <w:rPr>
          <w:rFonts w:ascii="Times New Roman" w:eastAsia="Times New Roman" w:hAnsi="Times New Roman"/>
          <w:b/>
        </w:rPr>
        <w:t>РАДИО</w:t>
      </w:r>
    </w:p>
    <w:p w14:paraId="0E2832B8" w14:textId="7CEC2AF8" w:rsidR="00F545C7" w:rsidRDefault="00000000">
      <w:pPr>
        <w:ind w:right="1075"/>
        <w:rPr>
          <w:rFonts w:ascii="Times New Roman" w:eastAsia="Times New Roman" w:hAnsi="Times New Roman"/>
        </w:rPr>
      </w:pPr>
      <w:r>
        <w:rPr>
          <w:rFonts w:ascii="Times New Roman" w:eastAsia="Times New Roman" w:hAnsi="Times New Roman"/>
        </w:rPr>
        <w:t>В ходе оценки бюджетов на региональное радио определялась средняя стоимость одной минуты рекламы для каждой радиостанции как в сетевом размещении, так и в локальном эфире Москвы и Санкт-Петербурга. В зависимости от бюджета рекламодатели были разделены на четыре кластера, в каждом из которых применялись свои расценки.</w:t>
      </w:r>
    </w:p>
    <w:p w14:paraId="0C63E248" w14:textId="77777777" w:rsidR="00F545C7" w:rsidRDefault="00000000">
      <w:pPr>
        <w:spacing w:after="0" w:line="360" w:lineRule="auto"/>
        <w:rPr>
          <w:rFonts w:ascii="Times New Roman" w:eastAsia="Times New Roman" w:hAnsi="Times New Roman"/>
          <w:b/>
        </w:rPr>
      </w:pPr>
      <w:r>
        <w:rPr>
          <w:rFonts w:ascii="Times New Roman" w:eastAsia="Times New Roman" w:hAnsi="Times New Roman"/>
          <w:b/>
        </w:rPr>
        <w:t>ПРЕССА</w:t>
      </w:r>
    </w:p>
    <w:p w14:paraId="6EECA57E" w14:textId="77777777" w:rsidR="00F545C7" w:rsidRDefault="00000000">
      <w:pPr>
        <w:rPr>
          <w:rFonts w:ascii="Times New Roman" w:eastAsia="Times New Roman" w:hAnsi="Times New Roman"/>
        </w:rPr>
      </w:pPr>
      <w:r>
        <w:rPr>
          <w:rFonts w:ascii="Times New Roman" w:eastAsia="Times New Roman" w:hAnsi="Times New Roman"/>
        </w:rPr>
        <w:t>В оценке расходов на центральную прессу к бюджетам, которые дает мониторинг, применяется среднерыночная скидка, которая высчитывается, исходя из экспертного опроса. Учитывались также наценки на эксклюзивные форматы рекламы: рубрика, обложка, приоритетная полоса и т.д.</w:t>
      </w:r>
    </w:p>
    <w:p w14:paraId="0795BB9A" w14:textId="77777777" w:rsidR="00F545C7" w:rsidRDefault="00000000">
      <w:pPr>
        <w:spacing w:after="0" w:line="360" w:lineRule="auto"/>
        <w:rPr>
          <w:rFonts w:ascii="Times New Roman" w:eastAsia="Times New Roman" w:hAnsi="Times New Roman"/>
          <w:b/>
        </w:rPr>
      </w:pPr>
      <w:r>
        <w:rPr>
          <w:rFonts w:ascii="Times New Roman" w:eastAsia="Times New Roman" w:hAnsi="Times New Roman"/>
          <w:b/>
        </w:rPr>
        <w:t>НАРУЖНАЯ РЕКЛАМА</w:t>
      </w:r>
    </w:p>
    <w:p w14:paraId="164ABAEB" w14:textId="0B397969" w:rsidR="00F545C7" w:rsidRDefault="00000000">
      <w:pPr>
        <w:ind w:right="1075"/>
        <w:rPr>
          <w:rFonts w:ascii="Times New Roman" w:eastAsia="Times New Roman" w:hAnsi="Times New Roman"/>
        </w:rPr>
      </w:pPr>
      <w:r>
        <w:rPr>
          <w:rFonts w:ascii="Times New Roman" w:eastAsia="Times New Roman" w:hAnsi="Times New Roman"/>
        </w:rPr>
        <w:lastRenderedPageBreak/>
        <w:t>Расходы на наружную рекламу по результатам мониторинга в 50 крупнейших городах базировалась на данных компании Admetrix. Для каждого формата применялись коэффициенты, отражающие особенности размещения на конструкциях различных форматов, отдельно по Москве и регионам. Эти данные также запрашивались в баинговых компаниях.</w:t>
      </w:r>
    </w:p>
    <w:p w14:paraId="4BF19725" w14:textId="77777777" w:rsidR="00F545C7" w:rsidRDefault="00000000">
      <w:pPr>
        <w:rPr>
          <w:rFonts w:ascii="Times New Roman" w:eastAsia="Times New Roman" w:hAnsi="Times New Roman"/>
          <w:b/>
        </w:rPr>
      </w:pPr>
      <w:r>
        <w:rPr>
          <w:rFonts w:ascii="Times New Roman" w:eastAsia="Times New Roman" w:hAnsi="Times New Roman"/>
          <w:b/>
        </w:rPr>
        <w:t>ИНТЕРНЕТ</w:t>
      </w:r>
    </w:p>
    <w:p w14:paraId="0E40551D" w14:textId="77777777" w:rsidR="00F545C7" w:rsidRDefault="00000000">
      <w:pPr>
        <w:rPr>
          <w:rFonts w:ascii="Times New Roman" w:eastAsia="Times New Roman" w:hAnsi="Times New Roman"/>
        </w:rPr>
      </w:pPr>
      <w:r>
        <w:rPr>
          <w:rFonts w:ascii="Times New Roman" w:eastAsia="Times New Roman" w:hAnsi="Times New Roman"/>
        </w:rPr>
        <w:t xml:space="preserve">Для целей данного исследования компания DigitalBudget оценивает бюджеты в интернет-каналах, основываясь на мониторинге платформы SimilarWeb. Получая из SimilarWeb данные по числу визитов на сайты рекламодателей, поступающие из разных источников, DigitalBudget переаттрибутирует виды трафика в релевантные исследованию сегменты. Например, к контекстной рекламе атрибутируется трафик, который в источнике отмечен как Search / Paid или имеет в названии доменов источников url поисковой системы и не отмечен параметром search/organic. </w:t>
      </w:r>
    </w:p>
    <w:p w14:paraId="550DF7E0" w14:textId="77777777" w:rsidR="00F545C7" w:rsidRDefault="00000000">
      <w:pPr>
        <w:ind w:right="1075"/>
        <w:rPr>
          <w:rFonts w:ascii="Times New Roman" w:eastAsia="Times New Roman" w:hAnsi="Times New Roman"/>
          <w:b/>
        </w:rPr>
      </w:pPr>
      <w:r>
        <w:rPr>
          <w:rFonts w:ascii="Times New Roman" w:eastAsia="Times New Roman" w:hAnsi="Times New Roman"/>
          <w:b/>
        </w:rPr>
        <w:t>Подробнее об оценке</w:t>
      </w:r>
    </w:p>
    <w:p w14:paraId="13EB2B03" w14:textId="77777777" w:rsidR="00F545C7" w:rsidRDefault="00000000">
      <w:pPr>
        <w:ind w:right="1075"/>
        <w:rPr>
          <w:rFonts w:ascii="Times New Roman" w:eastAsia="Times New Roman" w:hAnsi="Times New Roman"/>
        </w:rPr>
      </w:pPr>
      <w:r>
        <w:rPr>
          <w:rFonts w:ascii="Times New Roman" w:eastAsia="Times New Roman" w:hAnsi="Times New Roman"/>
        </w:rPr>
        <w:t xml:space="preserve">Бюджеты оцениваются по трафику на доменные имена. </w:t>
      </w:r>
    </w:p>
    <w:p w14:paraId="3FDDD560" w14:textId="77777777" w:rsidR="00F545C7" w:rsidRDefault="00000000">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Из Similarweb для каждого домена (бренда) экспортируются данные:</w:t>
      </w:r>
    </w:p>
    <w:p w14:paraId="3C4FA20F" w14:textId="77777777" w:rsidR="00F545C7" w:rsidRDefault="00000000">
      <w:pPr>
        <w:numPr>
          <w:ilvl w:val="0"/>
          <w:numId w:val="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Домен-источник трафика</w:t>
      </w:r>
    </w:p>
    <w:p w14:paraId="5608FFA6" w14:textId="77777777" w:rsidR="00F545C7" w:rsidRPr="00D10DF1" w:rsidRDefault="00000000">
      <w:pPr>
        <w:numPr>
          <w:ilvl w:val="0"/>
          <w:numId w:val="1"/>
        </w:numPr>
        <w:pBdr>
          <w:top w:val="nil"/>
          <w:left w:val="nil"/>
          <w:bottom w:val="nil"/>
          <w:right w:val="nil"/>
          <w:between w:val="nil"/>
        </w:pBdr>
        <w:spacing w:after="0" w:line="240" w:lineRule="auto"/>
        <w:rPr>
          <w:rFonts w:ascii="Times New Roman" w:eastAsia="Times New Roman" w:hAnsi="Times New Roman"/>
          <w:color w:val="000000"/>
          <w:lang w:val="en-US"/>
        </w:rPr>
      </w:pPr>
      <w:r>
        <w:rPr>
          <w:rFonts w:ascii="Times New Roman" w:eastAsia="Times New Roman" w:hAnsi="Times New Roman"/>
          <w:color w:val="000000"/>
        </w:rPr>
        <w:t>Тип</w:t>
      </w:r>
      <w:r w:rsidRPr="00D10DF1">
        <w:rPr>
          <w:rFonts w:ascii="Times New Roman" w:eastAsia="Times New Roman" w:hAnsi="Times New Roman"/>
          <w:color w:val="000000"/>
          <w:lang w:val="en-US"/>
        </w:rPr>
        <w:t xml:space="preserve"> </w:t>
      </w:r>
      <w:r>
        <w:rPr>
          <w:rFonts w:ascii="Times New Roman" w:eastAsia="Times New Roman" w:hAnsi="Times New Roman"/>
          <w:color w:val="000000"/>
        </w:rPr>
        <w:t>источника</w:t>
      </w:r>
      <w:r w:rsidRPr="00D10DF1">
        <w:rPr>
          <w:rFonts w:ascii="Times New Roman" w:eastAsia="Times New Roman" w:hAnsi="Times New Roman"/>
          <w:color w:val="000000"/>
          <w:lang w:val="en-US"/>
        </w:rPr>
        <w:t xml:space="preserve"> (Mobile Referral, Other, Unknown, Email, Channel, Mail, Social, Display Ad, Direct, Search / Organic, Search / Paid, Referral)</w:t>
      </w:r>
    </w:p>
    <w:p w14:paraId="32447A38" w14:textId="77777777" w:rsidR="00F545C7" w:rsidRDefault="00000000">
      <w:pPr>
        <w:numPr>
          <w:ilvl w:val="0"/>
          <w:numId w:val="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Количество визитов на сайт бренда в изучаемый период</w:t>
      </w:r>
    </w:p>
    <w:p w14:paraId="081173F0" w14:textId="77777777" w:rsidR="00F545C7" w:rsidRDefault="00000000">
      <w:pPr>
        <w:numPr>
          <w:ilvl w:val="0"/>
          <w:numId w:val="10"/>
        </w:num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В рамках исследования проводится переаттрибуция трафика: </w:t>
      </w:r>
    </w:p>
    <w:p w14:paraId="20997D81"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К контекстной рекламе атрибутируется трафик, который отмечен аттрибутами Search / Paid или имеет в названии доменов источников url поисковой системы и не отмечен параметром search/organic.</w:t>
      </w:r>
    </w:p>
    <w:p w14:paraId="558C529B" w14:textId="7FDFECD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К каналу</w:t>
      </w:r>
      <w:r w:rsidR="00D10DF1">
        <w:rPr>
          <w:rFonts w:ascii="Times New Roman" w:eastAsia="Times New Roman" w:hAnsi="Times New Roman"/>
          <w:color w:val="000000"/>
        </w:rPr>
        <w:t xml:space="preserve"> </w:t>
      </w:r>
      <w:r>
        <w:rPr>
          <w:rFonts w:ascii="Times New Roman" w:eastAsia="Times New Roman" w:hAnsi="Times New Roman"/>
          <w:color w:val="000000"/>
        </w:rPr>
        <w:t>«Display Ad» (баннерная реклама) отнесен трафик, который отмечен аттрибутом «Display Ad».</w:t>
      </w:r>
    </w:p>
    <w:p w14:paraId="0349DA41"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К каналу «Online Video» отнесен весь трафик с видеохостингов.</w:t>
      </w:r>
    </w:p>
    <w:p w14:paraId="4346B034"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К каналу «Paid Social» отнесен трафик из социальных сетей.</w:t>
      </w:r>
    </w:p>
    <w:p w14:paraId="09E28467" w14:textId="77777777" w:rsidR="00F545C7" w:rsidRDefault="00F545C7">
      <w:pPr>
        <w:pBdr>
          <w:top w:val="nil"/>
          <w:left w:val="nil"/>
          <w:bottom w:val="nil"/>
          <w:right w:val="nil"/>
          <w:between w:val="nil"/>
        </w:pBdr>
        <w:spacing w:after="0" w:line="240" w:lineRule="auto"/>
        <w:ind w:left="1276"/>
        <w:jc w:val="both"/>
        <w:rPr>
          <w:rFonts w:ascii="Times New Roman" w:eastAsia="Times New Roman" w:hAnsi="Times New Roman"/>
          <w:b/>
          <w:color w:val="000000"/>
        </w:rPr>
      </w:pPr>
    </w:p>
    <w:p w14:paraId="51FE0ECD" w14:textId="77777777" w:rsidR="00F545C7" w:rsidRDefault="00000000">
      <w:pPr>
        <w:numPr>
          <w:ilvl w:val="0"/>
          <w:numId w:val="10"/>
        </w:num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ОГРАНИЧЕНИЯ ОЦЕНКИ</w:t>
      </w:r>
    </w:p>
    <w:p w14:paraId="1A8AAED5" w14:textId="77777777" w:rsidR="00F545C7" w:rsidRDefault="00000000">
      <w:pPr>
        <w:pBdr>
          <w:top w:val="nil"/>
          <w:left w:val="nil"/>
          <w:bottom w:val="nil"/>
          <w:right w:val="nil"/>
          <w:between w:val="nil"/>
        </w:pBdr>
        <w:spacing w:after="0" w:line="240" w:lineRule="auto"/>
        <w:ind w:left="720"/>
        <w:jc w:val="both"/>
        <w:rPr>
          <w:rFonts w:ascii="Times New Roman" w:eastAsia="Times New Roman" w:hAnsi="Times New Roman"/>
          <w:b/>
          <w:color w:val="000000"/>
        </w:rPr>
      </w:pPr>
      <w:r>
        <w:rPr>
          <w:rFonts w:ascii="Times New Roman" w:eastAsia="Times New Roman" w:hAnsi="Times New Roman"/>
          <w:b/>
          <w:color w:val="000000"/>
        </w:rPr>
        <w:t>В рамках рейтинга не оценивается:</w:t>
      </w:r>
    </w:p>
    <w:p w14:paraId="5561EB7B"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bookmarkStart w:id="0" w:name="bookmark=id.30j0zll" w:colFirst="0" w:colLast="0"/>
      <w:bookmarkStart w:id="1" w:name="_heading=h.gjdgxs" w:colFirst="0" w:colLast="0"/>
      <w:bookmarkEnd w:id="0"/>
      <w:bookmarkEnd w:id="1"/>
      <w:r>
        <w:rPr>
          <w:rFonts w:ascii="Times New Roman" w:eastAsia="Times New Roman" w:hAnsi="Times New Roman"/>
          <w:color w:val="000000"/>
        </w:rPr>
        <w:t>InApp-реклама</w:t>
      </w:r>
    </w:p>
    <w:p w14:paraId="2893C02D"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Реклама, ведущая в мобильные сторы, приложения и направленная на продвижение мобильных приложений (CPI)</w:t>
      </w:r>
    </w:p>
    <w:p w14:paraId="474046CE"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Лидогенерация (CPA)</w:t>
      </w:r>
    </w:p>
    <w:p w14:paraId="07E9191E"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Реклама внутри социальных сетей (ведущая на внутренние промостраницы).</w:t>
      </w:r>
    </w:p>
    <w:p w14:paraId="147543EE"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Реклама в Яндекс.Картах, Яндекс.Навигаторе и т.д.</w:t>
      </w:r>
    </w:p>
    <w:p w14:paraId="71BBC57E" w14:textId="77777777" w:rsidR="00F545C7" w:rsidRPr="00D10DF1"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lang w:val="en-US"/>
        </w:rPr>
      </w:pPr>
      <w:r>
        <w:rPr>
          <w:rFonts w:ascii="Times New Roman" w:eastAsia="Times New Roman" w:hAnsi="Times New Roman"/>
          <w:color w:val="000000"/>
        </w:rPr>
        <w:t>Реклама</w:t>
      </w:r>
      <w:r w:rsidRPr="00D10DF1">
        <w:rPr>
          <w:rFonts w:ascii="Times New Roman" w:eastAsia="Times New Roman" w:hAnsi="Times New Roman"/>
          <w:color w:val="000000"/>
          <w:lang w:val="en-US"/>
        </w:rPr>
        <w:t xml:space="preserve"> </w:t>
      </w:r>
      <w:r>
        <w:rPr>
          <w:rFonts w:ascii="Times New Roman" w:eastAsia="Times New Roman" w:hAnsi="Times New Roman"/>
          <w:color w:val="000000"/>
        </w:rPr>
        <w:t>в</w:t>
      </w:r>
      <w:r w:rsidRPr="00D10DF1">
        <w:rPr>
          <w:rFonts w:ascii="Times New Roman" w:eastAsia="Times New Roman" w:hAnsi="Times New Roman"/>
          <w:color w:val="000000"/>
          <w:lang w:val="en-US"/>
        </w:rPr>
        <w:t xml:space="preserve"> Apple search, Huawei search, Bing.</w:t>
      </w:r>
    </w:p>
    <w:p w14:paraId="4B947047"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Реклама в WiFi Networks</w:t>
      </w:r>
    </w:p>
    <w:p w14:paraId="18A4373A"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Ретаргетинг</w:t>
      </w:r>
    </w:p>
    <w:p w14:paraId="6EE760F8" w14:textId="45FB2E6D"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rPr>
      </w:pPr>
      <w:r>
        <w:rPr>
          <w:rFonts w:ascii="Times New Roman" w:eastAsia="Times New Roman" w:hAnsi="Times New Roman"/>
        </w:rPr>
        <w:t>Реклама в Applications (Shazam, Едадил, Кошелек и т.д.)</w:t>
      </w:r>
    </w:p>
    <w:p w14:paraId="3D7FED13" w14:textId="77777777" w:rsidR="00F545C7" w:rsidRPr="00D10DF1"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lang w:val="en-US"/>
        </w:rPr>
      </w:pPr>
      <w:r w:rsidRPr="00D10DF1">
        <w:rPr>
          <w:rFonts w:ascii="Times New Roman" w:eastAsia="Times New Roman" w:hAnsi="Times New Roman"/>
          <w:color w:val="000000"/>
          <w:lang w:val="en-US"/>
        </w:rPr>
        <w:t>E-mail, CRM, direct marketing.</w:t>
      </w:r>
    </w:p>
    <w:p w14:paraId="6FB6C9CA"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Спецпроекты, PR, Influence</w:t>
      </w:r>
    </w:p>
    <w:p w14:paraId="52684D0F"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rPr>
        <w:t>Б</w:t>
      </w:r>
      <w:r>
        <w:rPr>
          <w:rFonts w:ascii="Times New Roman" w:eastAsia="Times New Roman" w:hAnsi="Times New Roman"/>
          <w:color w:val="000000"/>
        </w:rPr>
        <w:t>юджеты на Programmatic OOH</w:t>
      </w:r>
    </w:p>
    <w:p w14:paraId="066109E6" w14:textId="77777777" w:rsidR="00F545C7" w:rsidRDefault="00000000">
      <w:pPr>
        <w:numPr>
          <w:ilvl w:val="0"/>
          <w:numId w:val="2"/>
        </w:numPr>
        <w:pBdr>
          <w:top w:val="nil"/>
          <w:left w:val="nil"/>
          <w:bottom w:val="nil"/>
          <w:right w:val="nil"/>
          <w:between w:val="nil"/>
        </w:pBdr>
        <w:spacing w:after="0" w:line="240" w:lineRule="auto"/>
        <w:ind w:left="1276"/>
        <w:jc w:val="both"/>
        <w:rPr>
          <w:rFonts w:ascii="Times New Roman" w:eastAsia="Times New Roman" w:hAnsi="Times New Roman"/>
          <w:color w:val="000000"/>
        </w:rPr>
      </w:pPr>
      <w:r>
        <w:rPr>
          <w:rFonts w:ascii="Times New Roman" w:eastAsia="Times New Roman" w:hAnsi="Times New Roman"/>
          <w:color w:val="000000"/>
        </w:rPr>
        <w:t>Бюджеты на продвижение категорий, в которых невозможно методологическое отделение платного трафика от органического - Услуги в области интернета (Yandex.ru, Youtube, Mos.ru и т.д.), Средства массовой информации, агрегаторы вакансий и скидок и т.д. ;</w:t>
      </w:r>
    </w:p>
    <w:p w14:paraId="53C5810A" w14:textId="77777777" w:rsidR="00F545C7" w:rsidRDefault="00000000">
      <w:pPr>
        <w:numPr>
          <w:ilvl w:val="0"/>
          <w:numId w:val="7"/>
        </w:numPr>
        <w:pBdr>
          <w:top w:val="nil"/>
          <w:left w:val="nil"/>
          <w:bottom w:val="nil"/>
          <w:right w:val="nil"/>
          <w:between w:val="nil"/>
        </w:pBdr>
        <w:spacing w:after="0" w:line="240" w:lineRule="auto"/>
        <w:ind w:left="2127"/>
        <w:jc w:val="both"/>
        <w:rPr>
          <w:rFonts w:ascii="Times New Roman" w:eastAsia="Times New Roman" w:hAnsi="Times New Roman"/>
          <w:color w:val="000000"/>
        </w:rPr>
      </w:pPr>
      <w:r>
        <w:rPr>
          <w:rFonts w:ascii="Times New Roman" w:eastAsia="Times New Roman" w:hAnsi="Times New Roman"/>
          <w:color w:val="000000"/>
        </w:rPr>
        <w:t>Категория "Средства массовой информации" из рейтинга исключена, поскольку оценить, сколько СМИ тратят на рекламу (отделив бартер от коммерции), методологически невозможно.</w:t>
      </w:r>
    </w:p>
    <w:p w14:paraId="5AF43738" w14:textId="77777777" w:rsidR="00F545C7" w:rsidRDefault="00000000">
      <w:pPr>
        <w:numPr>
          <w:ilvl w:val="0"/>
          <w:numId w:val="7"/>
        </w:numPr>
        <w:pBdr>
          <w:top w:val="nil"/>
          <w:left w:val="nil"/>
          <w:bottom w:val="nil"/>
          <w:right w:val="nil"/>
          <w:between w:val="nil"/>
        </w:pBdr>
        <w:spacing w:after="0" w:line="240" w:lineRule="auto"/>
        <w:ind w:left="2127"/>
        <w:jc w:val="both"/>
        <w:rPr>
          <w:rFonts w:ascii="Times New Roman" w:eastAsia="Times New Roman" w:hAnsi="Times New Roman"/>
          <w:color w:val="000000"/>
        </w:rPr>
      </w:pPr>
      <w:bookmarkStart w:id="2" w:name="bookmark=id.3znysh7" w:colFirst="0" w:colLast="0"/>
      <w:bookmarkStart w:id="3" w:name="_heading=h.1fob9te" w:colFirst="0" w:colLast="0"/>
      <w:bookmarkEnd w:id="2"/>
      <w:bookmarkEnd w:id="3"/>
      <w:r>
        <w:rPr>
          <w:rFonts w:ascii="Times New Roman" w:eastAsia="Times New Roman" w:hAnsi="Times New Roman"/>
          <w:color w:val="000000"/>
        </w:rPr>
        <w:lastRenderedPageBreak/>
        <w:t>Категория «Услуги в области интернета» из рейтинга исключена, поскольку входящий трафик на крупнейшие интернет-порталы не является коммерческим. Исключение – экосистемные продукты.</w:t>
      </w:r>
    </w:p>
    <w:p w14:paraId="65F75055" w14:textId="77777777" w:rsidR="00F545C7" w:rsidRDefault="00000000">
      <w:pPr>
        <w:numPr>
          <w:ilvl w:val="0"/>
          <w:numId w:val="7"/>
        </w:numPr>
        <w:pBdr>
          <w:top w:val="nil"/>
          <w:left w:val="nil"/>
          <w:bottom w:val="nil"/>
          <w:right w:val="nil"/>
          <w:between w:val="nil"/>
        </w:pBdr>
        <w:spacing w:after="0" w:line="240" w:lineRule="auto"/>
        <w:ind w:left="2127"/>
        <w:jc w:val="both"/>
        <w:rPr>
          <w:rFonts w:ascii="Times New Roman" w:eastAsia="Times New Roman" w:hAnsi="Times New Roman"/>
          <w:color w:val="000000"/>
        </w:rPr>
      </w:pPr>
      <w:r>
        <w:rPr>
          <w:rFonts w:ascii="Times New Roman" w:eastAsia="Times New Roman" w:hAnsi="Times New Roman"/>
        </w:rPr>
        <w:t xml:space="preserve">Часть доменов </w:t>
      </w:r>
      <w:r>
        <w:rPr>
          <w:rFonts w:ascii="Times New Roman" w:eastAsia="Times New Roman" w:hAnsi="Times New Roman"/>
          <w:color w:val="000000"/>
        </w:rPr>
        <w:t>«Услуги в системе образования и трудоустройства» из рейтинга исключена, поскольку структура трафика связана с органическим приходом пользователей через сторонние сервисы, а также с размещением внутренней рекламы от малого бизнеса на платформе. Такой трафик невозможно отделить от рекламного трафика платформ.</w:t>
      </w:r>
    </w:p>
    <w:p w14:paraId="5BD1C9C8" w14:textId="77777777" w:rsidR="00F545C7" w:rsidRDefault="00000000">
      <w:pPr>
        <w:numPr>
          <w:ilvl w:val="0"/>
          <w:numId w:val="7"/>
        </w:numPr>
        <w:pBdr>
          <w:top w:val="nil"/>
          <w:left w:val="nil"/>
          <w:bottom w:val="nil"/>
          <w:right w:val="nil"/>
          <w:between w:val="nil"/>
        </w:pBdr>
        <w:spacing w:after="0" w:line="240" w:lineRule="auto"/>
        <w:ind w:left="2127"/>
        <w:jc w:val="both"/>
        <w:rPr>
          <w:rFonts w:ascii="Times New Roman" w:eastAsia="Times New Roman" w:hAnsi="Times New Roman"/>
          <w:color w:val="000000"/>
        </w:rPr>
      </w:pPr>
      <w:bookmarkStart w:id="4" w:name="bookmark=id.2s8eyo1" w:colFirst="0" w:colLast="0"/>
      <w:bookmarkStart w:id="5" w:name="bookmark=id.3dy6vkm" w:colFirst="0" w:colLast="0"/>
      <w:bookmarkStart w:id="6" w:name="bookmark=id.26in1rg" w:colFirst="0" w:colLast="0"/>
      <w:bookmarkStart w:id="7" w:name="bookmark=id.17dp8vu" w:colFirst="0" w:colLast="0"/>
      <w:bookmarkStart w:id="8" w:name="bookmark=id.3rdcrjn" w:colFirst="0" w:colLast="0"/>
      <w:bookmarkStart w:id="9" w:name="bookmark=id.1ksv4uv" w:colFirst="0" w:colLast="0"/>
      <w:bookmarkStart w:id="10" w:name="bookmark=id.35nkun2" w:colFirst="0" w:colLast="0"/>
      <w:bookmarkStart w:id="11" w:name="bookmark=id.lnxbz9" w:colFirst="0" w:colLast="0"/>
      <w:bookmarkStart w:id="12" w:name="bookmark=id.4d34og8" w:colFirst="0" w:colLast="0"/>
      <w:bookmarkStart w:id="13" w:name="bookmark=id.1t3h5sf" w:colFirst="0" w:colLast="0"/>
      <w:bookmarkStart w:id="14" w:name="_heading=h.tyjcwt" w:colFirst="0" w:colLast="0"/>
      <w:bookmarkEnd w:id="4"/>
      <w:bookmarkEnd w:id="5"/>
      <w:bookmarkEnd w:id="6"/>
      <w:bookmarkEnd w:id="7"/>
      <w:bookmarkEnd w:id="8"/>
      <w:bookmarkEnd w:id="9"/>
      <w:bookmarkEnd w:id="10"/>
      <w:bookmarkEnd w:id="11"/>
      <w:bookmarkEnd w:id="12"/>
      <w:bookmarkEnd w:id="13"/>
      <w:bookmarkEnd w:id="14"/>
      <w:r>
        <w:rPr>
          <w:rFonts w:ascii="Times New Roman" w:eastAsia="Times New Roman" w:hAnsi="Times New Roman"/>
          <w:color w:val="000000"/>
        </w:rPr>
        <w:t xml:space="preserve">Категория «Услуги в области торговли» входит в оценку только в отношении торговых площадок. Бюджеты вендоров не оцениваются. </w:t>
      </w:r>
    </w:p>
    <w:p w14:paraId="1A36F5FE" w14:textId="77777777" w:rsidR="00F545C7" w:rsidRDefault="00F545C7">
      <w:pPr>
        <w:spacing w:after="0" w:line="240" w:lineRule="auto"/>
        <w:ind w:left="916"/>
        <w:jc w:val="both"/>
        <w:rPr>
          <w:rFonts w:ascii="Times New Roman" w:eastAsia="Times New Roman" w:hAnsi="Times New Roman"/>
        </w:rPr>
      </w:pPr>
    </w:p>
    <w:p w14:paraId="019B2B9C" w14:textId="77777777" w:rsidR="00F545C7" w:rsidRDefault="00000000">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Оценка бюджетов размещения для каждого из брендов происходит на основе следующих данных:</w:t>
      </w:r>
    </w:p>
    <w:p w14:paraId="38E4BDA3" w14:textId="43C5BAF8" w:rsidR="00F545C7" w:rsidRDefault="00000000">
      <w:pPr>
        <w:numPr>
          <w:ilvl w:val="1"/>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Среднегодовые ставки Yandex, а также процент доходимости, определяемые экспертным путем</w:t>
      </w:r>
      <w:r w:rsidR="00C64B2B">
        <w:rPr>
          <w:rFonts w:ascii="Times New Roman" w:eastAsia="Times New Roman" w:hAnsi="Times New Roman"/>
          <w:color w:val="000000"/>
        </w:rPr>
        <w:t xml:space="preserve"> в зависимости от категории маркетинга</w:t>
      </w:r>
      <w:r>
        <w:rPr>
          <w:rFonts w:ascii="Times New Roman" w:eastAsia="Times New Roman" w:hAnsi="Times New Roman"/>
          <w:color w:val="000000"/>
        </w:rPr>
        <w:t>.</w:t>
      </w:r>
    </w:p>
    <w:p w14:paraId="3A4BF85F" w14:textId="77777777" w:rsidR="00F545C7" w:rsidRDefault="00000000">
      <w:pPr>
        <w:numPr>
          <w:ilvl w:val="1"/>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Стоимость визита для programmatic рекламы по всем товарным категориям предоставляется экспертами Digital Budget.</w:t>
      </w:r>
    </w:p>
    <w:p w14:paraId="0F8437DF" w14:textId="77777777" w:rsidR="00F545C7" w:rsidRDefault="00000000">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Финальная формула оборота рекламодателя имеет вид: </w:t>
      </w:r>
    </w:p>
    <w:p w14:paraId="5E6013F1" w14:textId="77777777" w:rsidR="00F545C7" w:rsidRDefault="00F545C7">
      <w:pPr>
        <w:pBdr>
          <w:top w:val="nil"/>
          <w:left w:val="nil"/>
          <w:bottom w:val="nil"/>
          <w:right w:val="nil"/>
          <w:between w:val="nil"/>
        </w:pBdr>
        <w:spacing w:after="0" w:line="240" w:lineRule="auto"/>
        <w:ind w:left="720"/>
        <w:rPr>
          <w:rFonts w:ascii="Times New Roman" w:eastAsia="Times New Roman" w:hAnsi="Times New Roman"/>
          <w:color w:val="000000"/>
        </w:rPr>
      </w:pPr>
    </w:p>
    <w:p w14:paraId="26E9EBA7" w14:textId="77777777" w:rsidR="00F545C7" w:rsidRDefault="00000000">
      <w:pPr>
        <w:pBdr>
          <w:top w:val="nil"/>
          <w:left w:val="nil"/>
          <w:bottom w:val="nil"/>
          <w:right w:val="nil"/>
          <w:between w:val="nil"/>
        </w:pBdr>
        <w:spacing w:after="0" w:line="240" w:lineRule="auto"/>
        <w:ind w:left="720"/>
        <w:rPr>
          <w:rFonts w:ascii="Times New Roman" w:eastAsia="Times New Roman" w:hAnsi="Times New Roman"/>
          <w:color w:val="000000"/>
        </w:rPr>
      </w:pPr>
      <w:r>
        <w:rPr>
          <w:rFonts w:ascii="Times New Roman" w:eastAsia="Times New Roman" w:hAnsi="Times New Roman"/>
          <w:color w:val="000000"/>
        </w:rPr>
        <w:t>Сумма оборотов по всем доменам рекламодателя, где:</w:t>
      </w:r>
    </w:p>
    <w:p w14:paraId="77023D1B" w14:textId="77777777" w:rsidR="00F545C7" w:rsidRDefault="00F545C7">
      <w:pPr>
        <w:pBdr>
          <w:top w:val="nil"/>
          <w:left w:val="nil"/>
          <w:bottom w:val="nil"/>
          <w:right w:val="nil"/>
          <w:between w:val="nil"/>
        </w:pBdr>
        <w:spacing w:after="0" w:line="240" w:lineRule="auto"/>
        <w:ind w:left="720"/>
        <w:rPr>
          <w:rFonts w:ascii="Times New Roman" w:eastAsia="Times New Roman" w:hAnsi="Times New Roman"/>
          <w:color w:val="000000"/>
        </w:rPr>
      </w:pPr>
    </w:p>
    <w:p w14:paraId="2BEF340A"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b/>
          <w:color w:val="000000"/>
        </w:rPr>
      </w:pPr>
      <w:r>
        <w:rPr>
          <w:rFonts w:ascii="Times New Roman" w:eastAsia="Times New Roman" w:hAnsi="Times New Roman"/>
          <w:b/>
          <w:color w:val="000000"/>
        </w:rPr>
        <w:t>Оборот по каждому домену для контекстной рекламы</w:t>
      </w:r>
    </w:p>
    <w:p w14:paraId="12AC2799"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w:t>
      </w:r>
    </w:p>
    <w:p w14:paraId="7177C264"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&lt; Количество заходов на домен из платного поиска Yandex &gt;</w:t>
      </w:r>
    </w:p>
    <w:p w14:paraId="1A695DCF"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p>
    <w:p w14:paraId="57407BD4"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&lt; Конверсия из кликов в заходы от Yandex &gt;</w:t>
      </w:r>
    </w:p>
    <w:p w14:paraId="5FDB659B"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p>
    <w:p w14:paraId="7ED5D33B"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&lt;Ставка по категории домена от Yandex &gt; </w:t>
      </w:r>
    </w:p>
    <w:p w14:paraId="173486FA" w14:textId="77777777" w:rsidR="00F545C7" w:rsidRDefault="00F545C7">
      <w:pPr>
        <w:spacing w:line="240" w:lineRule="auto"/>
        <w:rPr>
          <w:rFonts w:ascii="Times New Roman" w:eastAsia="Times New Roman" w:hAnsi="Times New Roman"/>
          <w:b/>
          <w:sz w:val="20"/>
          <w:szCs w:val="20"/>
        </w:rPr>
      </w:pPr>
    </w:p>
    <w:p w14:paraId="552AE75B"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b/>
          <w:color w:val="000000"/>
        </w:rPr>
      </w:pPr>
      <w:r>
        <w:rPr>
          <w:rFonts w:ascii="Times New Roman" w:eastAsia="Times New Roman" w:hAnsi="Times New Roman"/>
          <w:b/>
          <w:color w:val="000000"/>
        </w:rPr>
        <w:t>Оборот по каждому домену для Paid Social</w:t>
      </w:r>
    </w:p>
    <w:p w14:paraId="69FA7349"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w:t>
      </w:r>
    </w:p>
    <w:p w14:paraId="4825A092"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&lt; Количество заходов на домен в desktop + mobile, отнесенные к категории Paid Social &gt;</w:t>
      </w:r>
    </w:p>
    <w:p w14:paraId="668DCDD7" w14:textId="77777777" w:rsidR="00F545C7" w:rsidRDefault="00000000">
      <w:pPr>
        <w:pBdr>
          <w:top w:val="nil"/>
          <w:left w:val="nil"/>
          <w:bottom w:val="nil"/>
          <w:right w:val="nil"/>
          <w:between w:val="nil"/>
        </w:pBdr>
        <w:spacing w:after="0" w:line="240" w:lineRule="auto"/>
        <w:ind w:left="72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p>
    <w:p w14:paraId="691E91E9" w14:textId="77777777" w:rsidR="00F545C7" w:rsidRDefault="00000000">
      <w:pPr>
        <w:pBdr>
          <w:top w:val="nil"/>
          <w:left w:val="nil"/>
          <w:bottom w:val="nil"/>
          <w:right w:val="nil"/>
          <w:between w:val="nil"/>
        </w:pBdr>
        <w:spacing w:line="240" w:lineRule="auto"/>
        <w:ind w:left="72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&lt;Стоимость визита в зависимости от категории домена и канала трафика (desktop или mobile) &gt; </w:t>
      </w:r>
    </w:p>
    <w:p w14:paraId="54D08B8F" w14:textId="77777777" w:rsidR="00F545C7" w:rsidRDefault="00F545C7">
      <w:pPr>
        <w:rPr>
          <w:rFonts w:ascii="Times New Roman" w:eastAsia="Times New Roman" w:hAnsi="Times New Roman"/>
          <w:b/>
        </w:rPr>
      </w:pPr>
    </w:p>
    <w:p w14:paraId="5F86C6B6" w14:textId="77777777" w:rsidR="00F545C7" w:rsidRDefault="00000000">
      <w:pPr>
        <w:rPr>
          <w:rFonts w:ascii="Times New Roman" w:eastAsia="Times New Roman" w:hAnsi="Times New Roman"/>
          <w:b/>
        </w:rPr>
      </w:pPr>
      <w:r>
        <w:rPr>
          <w:rFonts w:ascii="Times New Roman" w:eastAsia="Times New Roman" w:hAnsi="Times New Roman"/>
          <w:b/>
        </w:rPr>
        <w:t>ОГРАНИЧЕНИЯ ОЦЕНКИ</w:t>
      </w:r>
    </w:p>
    <w:p w14:paraId="5082252F" w14:textId="7D0D6A94" w:rsidR="00F545C7" w:rsidRDefault="00000000">
      <w:pPr>
        <w:rPr>
          <w:rFonts w:ascii="Times New Roman" w:eastAsia="Times New Roman" w:hAnsi="Times New Roman"/>
        </w:rPr>
      </w:pPr>
      <w:r>
        <w:rPr>
          <w:rFonts w:ascii="Times New Roman" w:eastAsia="Times New Roman" w:hAnsi="Times New Roman"/>
        </w:rPr>
        <w:t>В оценку не входят медиаканалы, где на сегодняшний день отсутствует независимый мониторинг или не выработан методологический подход: Indoor-реклама, в т.ч. в</w:t>
      </w:r>
      <w:r w:rsidR="00D10DF1">
        <w:rPr>
          <w:rFonts w:ascii="Times New Roman" w:eastAsia="Times New Roman" w:hAnsi="Times New Roman"/>
        </w:rPr>
        <w:t xml:space="preserve"> </w:t>
      </w:r>
      <w:r>
        <w:rPr>
          <w:rFonts w:ascii="Times New Roman" w:eastAsia="Times New Roman" w:hAnsi="Times New Roman"/>
        </w:rPr>
        <w:t>кинотеатрах и аэропортах, в транзитная реклама, PR (в т.ч. SMM), нативные и специальные проекты.</w:t>
      </w:r>
    </w:p>
    <w:p w14:paraId="2BD95996" w14:textId="77777777" w:rsidR="00F545C7" w:rsidRDefault="00F545C7">
      <w:pPr>
        <w:rPr>
          <w:rFonts w:ascii="Times New Roman" w:eastAsia="Times New Roman" w:hAnsi="Times New Roman"/>
        </w:rPr>
      </w:pPr>
    </w:p>
    <w:p w14:paraId="4C4E9D58" w14:textId="77777777" w:rsidR="00F545C7" w:rsidRDefault="00000000">
      <w:pPr>
        <w:jc w:val="center"/>
        <w:rPr>
          <w:rFonts w:ascii="Times New Roman" w:eastAsia="Times New Roman" w:hAnsi="Times New Roman"/>
          <w:b/>
        </w:rPr>
      </w:pPr>
      <w:r>
        <w:rPr>
          <w:rFonts w:ascii="Times New Roman" w:eastAsia="Times New Roman" w:hAnsi="Times New Roman"/>
          <w:b/>
        </w:rPr>
        <w:t>РЕЙТИНГ АГЕНТСТВ</w:t>
      </w:r>
    </w:p>
    <w:p w14:paraId="7EF7083D" w14:textId="77777777" w:rsidR="00F545C7" w:rsidRDefault="00000000">
      <w:pPr>
        <w:spacing w:after="0" w:line="240" w:lineRule="auto"/>
        <w:jc w:val="center"/>
        <w:rPr>
          <w:rFonts w:ascii="Times New Roman" w:eastAsia="Times New Roman" w:hAnsi="Times New Roman"/>
          <w:sz w:val="24"/>
          <w:szCs w:val="24"/>
        </w:rPr>
      </w:pPr>
      <w:r>
        <w:rPr>
          <w:rFonts w:ascii="Times New Roman" w:eastAsia="Times New Roman" w:hAnsi="Times New Roman"/>
          <w:b/>
          <w:color w:val="000000"/>
        </w:rPr>
        <w:t>Определения, принятые в рамках рейтинга</w:t>
      </w:r>
    </w:p>
    <w:p w14:paraId="6604131B"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b/>
        </w:rPr>
        <w:t>Медиа</w:t>
      </w:r>
      <w:r>
        <w:rPr>
          <w:rFonts w:ascii="Times New Roman" w:eastAsia="Times New Roman" w:hAnsi="Times New Roman"/>
        </w:rPr>
        <w:t>. Средство распространения рекламы: ТВ, радио, пресса, интернет, конструкции наружной рекламы.</w:t>
      </w:r>
    </w:p>
    <w:p w14:paraId="455DD1E5"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b/>
        </w:rPr>
        <w:t>Интерес рекламодателя в медиа</w:t>
      </w:r>
      <w:r>
        <w:rPr>
          <w:rFonts w:ascii="Times New Roman" w:eastAsia="Times New Roman" w:hAnsi="Times New Roman"/>
        </w:rPr>
        <w:t>. Размещение рекламы в одном из средств ее распространения на территории России.</w:t>
      </w:r>
    </w:p>
    <w:p w14:paraId="3B4A04ED"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rPr>
        <w:t xml:space="preserve">3. </w:t>
      </w:r>
      <w:r>
        <w:rPr>
          <w:rFonts w:ascii="Times New Roman" w:eastAsia="Times New Roman" w:hAnsi="Times New Roman"/>
          <w:b/>
        </w:rPr>
        <w:t>Прямой контракт</w:t>
      </w:r>
      <w:r>
        <w:rPr>
          <w:rFonts w:ascii="Times New Roman" w:eastAsia="Times New Roman" w:hAnsi="Times New Roman"/>
        </w:rPr>
        <w:t xml:space="preserve">. Контракт с рекламодателем на размещение рекламы в медиа на территории России. Для инхаусных агентств* действует ограничение: контракт на обслуживание материнской компании должен быть получен в результате тендера/конкурса (требуется подтверждение в виде открытой конкурсной документации или публикаций в СМИ). Если нет информации, что инхаусное агентство получило контракт на тендерной основе, то контракт </w:t>
      </w:r>
      <w:r>
        <w:rPr>
          <w:rFonts w:ascii="Times New Roman" w:eastAsia="Times New Roman" w:hAnsi="Times New Roman"/>
        </w:rPr>
        <w:lastRenderedPageBreak/>
        <w:t>следующего агентства считается прямым (если был получен в ходе тендера или анонсирован в СМИ).</w:t>
      </w:r>
    </w:p>
    <w:p w14:paraId="21ABBD8F" w14:textId="77777777" w:rsidR="00F545C7" w:rsidRDefault="00000000" w:rsidP="00C64B2B">
      <w:pPr>
        <w:spacing w:after="0"/>
        <w:ind w:left="567" w:hanging="283"/>
        <w:rPr>
          <w:rFonts w:ascii="Times New Roman" w:eastAsia="Times New Roman" w:hAnsi="Times New Roman"/>
          <w:i/>
          <w:sz w:val="20"/>
          <w:szCs w:val="20"/>
        </w:rPr>
      </w:pPr>
      <w:r>
        <w:rPr>
          <w:rFonts w:ascii="Times New Roman" w:eastAsia="Times New Roman" w:hAnsi="Times New Roman"/>
          <w:sz w:val="20"/>
          <w:szCs w:val="20"/>
        </w:rPr>
        <w:t xml:space="preserve">* </w:t>
      </w:r>
      <w:r>
        <w:rPr>
          <w:rFonts w:ascii="Times New Roman" w:eastAsia="Times New Roman" w:hAnsi="Times New Roman"/>
          <w:i/>
          <w:sz w:val="20"/>
          <w:szCs w:val="20"/>
        </w:rPr>
        <w:t>Компания, которая получает бюджет на закупки для всех или части сателлитов материнской структуры, а затем направляет бюджеты в медиа или поручает другим агентствам, часто через тендеры.</w:t>
      </w:r>
    </w:p>
    <w:p w14:paraId="5493D909"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xml:space="preserve">4. </w:t>
      </w:r>
      <w:r>
        <w:rPr>
          <w:rFonts w:ascii="Times New Roman" w:eastAsia="Times New Roman" w:hAnsi="Times New Roman"/>
          <w:b/>
        </w:rPr>
        <w:t>Медиасервис</w:t>
      </w:r>
      <w:r>
        <w:rPr>
          <w:rFonts w:ascii="Times New Roman" w:eastAsia="Times New Roman" w:hAnsi="Times New Roman"/>
        </w:rPr>
        <w:t>. Обслуживание интересов рекламодателя в медиа на территории России по прямому контракту.</w:t>
      </w:r>
    </w:p>
    <w:p w14:paraId="46FA100D"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rPr>
        <w:t xml:space="preserve">5. </w:t>
      </w:r>
      <w:r>
        <w:rPr>
          <w:rFonts w:ascii="Times New Roman" w:eastAsia="Times New Roman" w:hAnsi="Times New Roman"/>
          <w:b/>
        </w:rPr>
        <w:t>Агентский бренд</w:t>
      </w:r>
      <w:r>
        <w:rPr>
          <w:rFonts w:ascii="Times New Roman" w:eastAsia="Times New Roman" w:hAnsi="Times New Roman"/>
        </w:rPr>
        <w:t xml:space="preserve">. Название, позволяющее однозначно идентифицировать агентство. </w:t>
      </w:r>
    </w:p>
    <w:p w14:paraId="02469E24"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rPr>
        <w:t>Необходимые признаки бренда</w:t>
      </w:r>
    </w:p>
    <w:p w14:paraId="6A2D6F44"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xml:space="preserve">1) Наличие уникального названия, логотипа**; </w:t>
      </w:r>
    </w:p>
    <w:p w14:paraId="6C1279A4"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xml:space="preserve">2) В течение изучаемого периода осуществляет услуги (подтверждается публикациями в СМИ) или участвует в тендерах по медиасервису от своего имени (подтверждается в открытых источниках или СМИ)**; </w:t>
      </w:r>
    </w:p>
    <w:p w14:paraId="1BD175AD"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xml:space="preserve">3) В течение изучаемого периода фигурирует в информационном пространстве, а именно: </w:t>
      </w:r>
    </w:p>
    <w:p w14:paraId="4D9C334E"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Представлено в интернете в виде сайта и группы/сообщества в соцсетях**</w:t>
      </w:r>
    </w:p>
    <w:p w14:paraId="7C691FC8"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Публикуется или упоминается в СМИ в изучаемом контексте***</w:t>
      </w:r>
    </w:p>
    <w:p w14:paraId="67F543CD"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Участвует в индустриальных мероприятиях***</w:t>
      </w:r>
    </w:p>
    <w:p w14:paraId="4736EAF6" w14:textId="77777777" w:rsidR="00F545C7" w:rsidRDefault="00F545C7" w:rsidP="00C64B2B">
      <w:pPr>
        <w:spacing w:after="0"/>
        <w:ind w:left="567" w:hanging="283"/>
        <w:rPr>
          <w:rFonts w:ascii="Times New Roman" w:eastAsia="Times New Roman" w:hAnsi="Times New Roman"/>
        </w:rPr>
      </w:pPr>
    </w:p>
    <w:p w14:paraId="20E0B0E4" w14:textId="77777777" w:rsidR="00F545C7" w:rsidRDefault="00000000" w:rsidP="00C64B2B">
      <w:pPr>
        <w:spacing w:after="0"/>
        <w:ind w:left="567" w:hanging="283"/>
        <w:rPr>
          <w:rFonts w:ascii="Times New Roman" w:eastAsia="Times New Roman" w:hAnsi="Times New Roman"/>
          <w:i/>
        </w:rPr>
      </w:pPr>
      <w:r>
        <w:rPr>
          <w:rFonts w:ascii="Times New Roman" w:eastAsia="Times New Roman" w:hAnsi="Times New Roman"/>
          <w:i/>
        </w:rPr>
        <w:t xml:space="preserve">** Обязательно </w:t>
      </w:r>
    </w:p>
    <w:p w14:paraId="66EEE647" w14:textId="77777777" w:rsidR="00F545C7" w:rsidRDefault="00000000" w:rsidP="00C64B2B">
      <w:pPr>
        <w:numPr>
          <w:ilvl w:val="0"/>
          <w:numId w:val="9"/>
        </w:numPr>
        <w:spacing w:after="0"/>
        <w:ind w:left="567" w:hanging="283"/>
        <w:rPr>
          <w:rFonts w:ascii="Times New Roman" w:eastAsia="Times New Roman" w:hAnsi="Times New Roman"/>
          <w:i/>
        </w:rPr>
      </w:pPr>
      <w:r>
        <w:rPr>
          <w:rFonts w:ascii="Times New Roman" w:eastAsia="Times New Roman" w:hAnsi="Times New Roman"/>
          <w:i/>
        </w:rPr>
        <w:t>*** Косвенный признак, обязательным не является.</w:t>
      </w:r>
    </w:p>
    <w:p w14:paraId="76052E9F" w14:textId="77777777" w:rsidR="00F545C7" w:rsidRDefault="00F545C7" w:rsidP="00C64B2B">
      <w:pPr>
        <w:numPr>
          <w:ilvl w:val="0"/>
          <w:numId w:val="9"/>
        </w:numPr>
        <w:spacing w:after="0"/>
        <w:ind w:left="567" w:hanging="283"/>
        <w:rPr>
          <w:rFonts w:ascii="Times New Roman" w:eastAsia="Times New Roman" w:hAnsi="Times New Roman"/>
          <w:i/>
        </w:rPr>
      </w:pPr>
    </w:p>
    <w:p w14:paraId="3FDA7B21"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xml:space="preserve">6. </w:t>
      </w:r>
      <w:r>
        <w:rPr>
          <w:rFonts w:ascii="Times New Roman" w:eastAsia="Times New Roman" w:hAnsi="Times New Roman"/>
          <w:b/>
        </w:rPr>
        <w:t>Агентство</w:t>
      </w:r>
      <w:r>
        <w:rPr>
          <w:rFonts w:ascii="Times New Roman" w:eastAsia="Times New Roman" w:hAnsi="Times New Roman"/>
        </w:rPr>
        <w:t>. Компания, имеющая собственный бренд, занимающаяся обслуживанием интересов более чем одного рекламодателя, имеющая как минимум одно юридическое лицо и собственный штат сотрудников, занимающихся планированием и закупками рекламы в СМИ.</w:t>
      </w:r>
    </w:p>
    <w:p w14:paraId="3BB27416" w14:textId="656BDFFA"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xml:space="preserve">7. </w:t>
      </w:r>
      <w:r>
        <w:rPr>
          <w:rFonts w:ascii="Times New Roman" w:eastAsia="Times New Roman" w:hAnsi="Times New Roman"/>
          <w:b/>
        </w:rPr>
        <w:t>Участник рейтинга</w:t>
      </w:r>
      <w:r>
        <w:rPr>
          <w:rFonts w:ascii="Times New Roman" w:eastAsia="Times New Roman" w:hAnsi="Times New Roman"/>
        </w:rPr>
        <w:t xml:space="preserve">. Любое агентство с преобладающей долей прямых клиентов (количественно более 50%), обслуживающее интересы рекламодателей в медиа на территории России суммарно более чем на 50 млн рублей (без НДС) по </w:t>
      </w:r>
      <w:r w:rsidR="00C64B2B">
        <w:rPr>
          <w:rFonts w:ascii="Times New Roman" w:eastAsia="Times New Roman" w:hAnsi="Times New Roman"/>
        </w:rPr>
        <w:t>оценке</w:t>
      </w:r>
      <w:r>
        <w:rPr>
          <w:rFonts w:ascii="Times New Roman" w:eastAsia="Times New Roman" w:hAnsi="Times New Roman"/>
        </w:rPr>
        <w:t xml:space="preserve"> AdIndex, в интернете – суммарно более чем на 10 млн рублей (без НДС) по </w:t>
      </w:r>
      <w:r w:rsidR="00C64B2B">
        <w:rPr>
          <w:rFonts w:ascii="Times New Roman" w:eastAsia="Times New Roman" w:hAnsi="Times New Roman"/>
        </w:rPr>
        <w:t>оценке</w:t>
      </w:r>
      <w:r>
        <w:rPr>
          <w:rFonts w:ascii="Times New Roman" w:eastAsia="Times New Roman" w:hAnsi="Times New Roman"/>
        </w:rPr>
        <w:t xml:space="preserve"> AdIndex. </w:t>
      </w:r>
    </w:p>
    <w:p w14:paraId="481C3454" w14:textId="77777777" w:rsidR="00F545C7" w:rsidRDefault="00000000" w:rsidP="00C64B2B">
      <w:pPr>
        <w:spacing w:after="0"/>
        <w:ind w:left="567" w:hanging="283"/>
        <w:jc w:val="both"/>
        <w:rPr>
          <w:rFonts w:ascii="Times New Roman" w:eastAsia="Times New Roman" w:hAnsi="Times New Roman"/>
        </w:rPr>
      </w:pPr>
      <w:r>
        <w:rPr>
          <w:rFonts w:ascii="Times New Roman" w:eastAsia="Times New Roman" w:hAnsi="Times New Roman"/>
        </w:rPr>
        <w:t xml:space="preserve">Участник рейтинга должен вести самостоятельную деятельность как в привлечении контрактов, так и в осуществлении закупок рекламы в медиа (обслуживание интересов рекламодателей). Evidence - наличие прямых контрактов как с заказчиками, так и с провайдерами инвентаря. </w:t>
      </w:r>
    </w:p>
    <w:p w14:paraId="7C6A2AB6" w14:textId="77777777" w:rsidR="00F545C7" w:rsidRDefault="00F545C7" w:rsidP="00C64B2B">
      <w:pPr>
        <w:spacing w:after="0"/>
        <w:ind w:left="567" w:hanging="283"/>
        <w:rPr>
          <w:rFonts w:ascii="Times New Roman" w:eastAsia="Times New Roman" w:hAnsi="Times New Roman"/>
        </w:rPr>
      </w:pPr>
    </w:p>
    <w:p w14:paraId="0FF59583"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rPr>
        <w:t xml:space="preserve">8. </w:t>
      </w:r>
      <w:r>
        <w:rPr>
          <w:rFonts w:ascii="Times New Roman" w:eastAsia="Times New Roman" w:hAnsi="Times New Roman"/>
          <w:b/>
        </w:rPr>
        <w:t>Группа</w:t>
      </w:r>
      <w:r>
        <w:rPr>
          <w:rFonts w:ascii="Times New Roman" w:eastAsia="Times New Roman" w:hAnsi="Times New Roman"/>
        </w:rPr>
        <w:t xml:space="preserve">. Объединение участников рейтинга на юридической или договорной основе. </w:t>
      </w:r>
    </w:p>
    <w:p w14:paraId="5B756CC6"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rPr>
        <w:t>Юридические основания</w:t>
      </w:r>
    </w:p>
    <w:p w14:paraId="42DACBE2"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b/>
        </w:rPr>
        <w:t>Подтверждения</w:t>
      </w:r>
      <w:r>
        <w:rPr>
          <w:rFonts w:ascii="Times New Roman" w:eastAsia="Times New Roman" w:hAnsi="Times New Roman"/>
        </w:rPr>
        <w:t>:</w:t>
      </w:r>
    </w:p>
    <w:p w14:paraId="5ECC82C7" w14:textId="77777777" w:rsidR="00F545C7" w:rsidRDefault="00000000" w:rsidP="00C64B2B">
      <w:pPr>
        <w:numPr>
          <w:ilvl w:val="0"/>
          <w:numId w:val="3"/>
        </w:numPr>
        <w:spacing w:after="0"/>
        <w:ind w:left="567" w:hanging="283"/>
        <w:rPr>
          <w:rFonts w:ascii="Times New Roman" w:eastAsia="Times New Roman" w:hAnsi="Times New Roman"/>
        </w:rPr>
      </w:pPr>
      <w:r>
        <w:rPr>
          <w:rFonts w:ascii="Times New Roman" w:eastAsia="Times New Roman" w:hAnsi="Times New Roman"/>
        </w:rPr>
        <w:t>Упоминание агентства в составе структуры группы на сайте группы.</w:t>
      </w:r>
    </w:p>
    <w:p w14:paraId="66C1F8C9" w14:textId="77777777" w:rsidR="00F545C7" w:rsidRDefault="00000000" w:rsidP="00C64B2B">
      <w:pPr>
        <w:numPr>
          <w:ilvl w:val="0"/>
          <w:numId w:val="3"/>
        </w:numPr>
        <w:spacing w:after="0"/>
        <w:ind w:left="567" w:hanging="283"/>
        <w:rPr>
          <w:rFonts w:ascii="Times New Roman" w:eastAsia="Times New Roman" w:hAnsi="Times New Roman"/>
        </w:rPr>
      </w:pPr>
      <w:r>
        <w:rPr>
          <w:rFonts w:ascii="Times New Roman" w:eastAsia="Times New Roman" w:hAnsi="Times New Roman"/>
        </w:rPr>
        <w:t>Упоминание агентства в составе структуры группы в публикациях в профильных и деловых СМИ.</w:t>
      </w:r>
    </w:p>
    <w:p w14:paraId="3A7237D2"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rPr>
        <w:t>Договорные основания</w:t>
      </w:r>
    </w:p>
    <w:p w14:paraId="4AD45658"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b/>
        </w:rPr>
        <w:t>Подтверждения</w:t>
      </w:r>
      <w:r>
        <w:rPr>
          <w:rFonts w:ascii="Times New Roman" w:eastAsia="Times New Roman" w:hAnsi="Times New Roman"/>
        </w:rPr>
        <w:t xml:space="preserve">: </w:t>
      </w:r>
    </w:p>
    <w:p w14:paraId="4F014CC1" w14:textId="77777777" w:rsidR="00F545C7" w:rsidRDefault="00000000" w:rsidP="00C64B2B">
      <w:pPr>
        <w:numPr>
          <w:ilvl w:val="0"/>
          <w:numId w:val="6"/>
        </w:numPr>
        <w:spacing w:after="0"/>
        <w:ind w:left="567" w:hanging="283"/>
        <w:rPr>
          <w:rFonts w:ascii="Times New Roman" w:eastAsia="Times New Roman" w:hAnsi="Times New Roman"/>
        </w:rPr>
      </w:pPr>
      <w:r>
        <w:rPr>
          <w:rFonts w:ascii="Times New Roman" w:eastAsia="Times New Roman" w:hAnsi="Times New Roman"/>
        </w:rPr>
        <w:t>Объявление о заключении баингового альянса (публикации в профильных СМИ)</w:t>
      </w:r>
    </w:p>
    <w:p w14:paraId="7FEA5955" w14:textId="77777777" w:rsidR="00F545C7" w:rsidRDefault="00000000" w:rsidP="00C64B2B">
      <w:pPr>
        <w:numPr>
          <w:ilvl w:val="0"/>
          <w:numId w:val="6"/>
        </w:numPr>
        <w:spacing w:after="0"/>
        <w:ind w:left="567" w:hanging="283"/>
        <w:rPr>
          <w:rFonts w:ascii="Times New Roman" w:eastAsia="Times New Roman" w:hAnsi="Times New Roman"/>
        </w:rPr>
      </w:pPr>
      <w:r>
        <w:rPr>
          <w:rFonts w:ascii="Times New Roman" w:eastAsia="Times New Roman" w:hAnsi="Times New Roman"/>
        </w:rPr>
        <w:t>Подтверждение объединенных закупок крупнейшими селлерами.</w:t>
      </w:r>
    </w:p>
    <w:p w14:paraId="5C720E2F"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b/>
        </w:rPr>
        <w:t xml:space="preserve">Подтверждениями </w:t>
      </w:r>
      <w:r>
        <w:rPr>
          <w:rFonts w:ascii="Times New Roman" w:eastAsia="Times New Roman" w:hAnsi="Times New Roman"/>
          <w:b/>
          <w:color w:val="FF0000"/>
        </w:rPr>
        <w:t xml:space="preserve">не </w:t>
      </w:r>
      <w:r>
        <w:rPr>
          <w:rFonts w:ascii="Times New Roman" w:eastAsia="Times New Roman" w:hAnsi="Times New Roman"/>
          <w:b/>
        </w:rPr>
        <w:t>являются</w:t>
      </w:r>
      <w:r>
        <w:rPr>
          <w:rFonts w:ascii="Times New Roman" w:eastAsia="Times New Roman" w:hAnsi="Times New Roman"/>
        </w:rPr>
        <w:t xml:space="preserve">: </w:t>
      </w:r>
    </w:p>
    <w:p w14:paraId="1E97081A" w14:textId="747CE5D0" w:rsidR="00F545C7" w:rsidRDefault="00000000" w:rsidP="00C64B2B">
      <w:pPr>
        <w:spacing w:after="0"/>
        <w:ind w:left="567" w:hanging="283"/>
        <w:rPr>
          <w:rFonts w:ascii="Times New Roman" w:eastAsia="Times New Roman" w:hAnsi="Times New Roman"/>
        </w:rPr>
      </w:pPr>
      <w:r>
        <w:rPr>
          <w:rFonts w:ascii="Times New Roman" w:eastAsia="Times New Roman" w:hAnsi="Times New Roman"/>
        </w:rPr>
        <w:t>Письма от представителей групп о</w:t>
      </w:r>
      <w:r w:rsidR="00C64B2B">
        <w:rPr>
          <w:rFonts w:ascii="Times New Roman" w:eastAsia="Times New Roman" w:hAnsi="Times New Roman"/>
        </w:rPr>
        <w:t>б образовании</w:t>
      </w:r>
      <w:r>
        <w:rPr>
          <w:rFonts w:ascii="Times New Roman" w:eastAsia="Times New Roman" w:hAnsi="Times New Roman"/>
        </w:rPr>
        <w:t xml:space="preserve"> баингов</w:t>
      </w:r>
      <w:r w:rsidR="00C64B2B">
        <w:rPr>
          <w:rFonts w:ascii="Times New Roman" w:eastAsia="Times New Roman" w:hAnsi="Times New Roman"/>
        </w:rPr>
        <w:t>ого</w:t>
      </w:r>
      <w:r>
        <w:rPr>
          <w:rFonts w:ascii="Times New Roman" w:eastAsia="Times New Roman" w:hAnsi="Times New Roman"/>
        </w:rPr>
        <w:t xml:space="preserve"> альянс</w:t>
      </w:r>
      <w:r w:rsidR="00C64B2B">
        <w:rPr>
          <w:rFonts w:ascii="Times New Roman" w:eastAsia="Times New Roman" w:hAnsi="Times New Roman"/>
        </w:rPr>
        <w:t>а.</w:t>
      </w:r>
    </w:p>
    <w:p w14:paraId="231E9DEC" w14:textId="77777777" w:rsidR="00F545C7" w:rsidRDefault="00F545C7" w:rsidP="00C64B2B">
      <w:pPr>
        <w:spacing w:after="0"/>
        <w:ind w:left="567" w:hanging="283"/>
        <w:rPr>
          <w:rFonts w:ascii="Times New Roman" w:eastAsia="Times New Roman" w:hAnsi="Times New Roman"/>
        </w:rPr>
      </w:pPr>
    </w:p>
    <w:p w14:paraId="689D1D5B" w14:textId="77777777" w:rsidR="00F545C7" w:rsidRDefault="00000000" w:rsidP="00C64B2B">
      <w:pPr>
        <w:spacing w:after="0"/>
        <w:ind w:left="567" w:hanging="283"/>
        <w:rPr>
          <w:rFonts w:ascii="Times New Roman" w:eastAsia="Times New Roman" w:hAnsi="Times New Roman"/>
        </w:rPr>
      </w:pPr>
      <w:r>
        <w:rPr>
          <w:rFonts w:ascii="Times New Roman" w:eastAsia="Times New Roman" w:hAnsi="Times New Roman"/>
        </w:rPr>
        <w:t xml:space="preserve">9. </w:t>
      </w:r>
      <w:r>
        <w:rPr>
          <w:rFonts w:ascii="Times New Roman" w:eastAsia="Times New Roman" w:hAnsi="Times New Roman"/>
          <w:b/>
        </w:rPr>
        <w:t>Бюджет</w:t>
      </w:r>
      <w:r>
        <w:rPr>
          <w:rFonts w:ascii="Times New Roman" w:eastAsia="Times New Roman" w:hAnsi="Times New Roman"/>
        </w:rPr>
        <w:t>. Оценочное значение бюджета на размещение на основе мониторинга. Фактические бюджеты, раскрываемые агентствами или взятые в открытых источниках (публичные тендеры), в расчет не берутся, поскольку это нарушает принцип равенства участников ранжирования и единый подход к эстимации.</w:t>
      </w:r>
    </w:p>
    <w:p w14:paraId="6E7C15DB" w14:textId="77777777" w:rsidR="00F545C7" w:rsidRDefault="00F545C7">
      <w:pPr>
        <w:rPr>
          <w:rFonts w:ascii="Times New Roman" w:eastAsia="Times New Roman" w:hAnsi="Times New Roman"/>
        </w:rPr>
      </w:pPr>
    </w:p>
    <w:p w14:paraId="295F5EAF" w14:textId="77777777" w:rsidR="00F545C7" w:rsidRDefault="00000000">
      <w:pPr>
        <w:spacing w:after="0"/>
        <w:rPr>
          <w:rFonts w:ascii="Times New Roman" w:eastAsia="Times New Roman" w:hAnsi="Times New Roman"/>
          <w:b/>
        </w:rPr>
      </w:pPr>
      <w:r>
        <w:rPr>
          <w:rFonts w:ascii="Times New Roman" w:eastAsia="Times New Roman" w:hAnsi="Times New Roman"/>
          <w:b/>
        </w:rPr>
        <w:t>Принципы разрешения споров</w:t>
      </w:r>
    </w:p>
    <w:p w14:paraId="4AC0173F" w14:textId="77777777" w:rsidR="00F545C7" w:rsidRDefault="00000000">
      <w:pPr>
        <w:numPr>
          <w:ilvl w:val="0"/>
          <w:numId w:val="4"/>
        </w:numPr>
        <w:spacing w:after="0"/>
        <w:jc w:val="both"/>
        <w:rPr>
          <w:rFonts w:ascii="Times New Roman" w:eastAsia="Times New Roman" w:hAnsi="Times New Roman"/>
        </w:rPr>
      </w:pPr>
      <w:r>
        <w:rPr>
          <w:rFonts w:ascii="Times New Roman" w:eastAsia="Times New Roman" w:hAnsi="Times New Roman"/>
        </w:rPr>
        <w:lastRenderedPageBreak/>
        <w:t>Бюджет засчитывается агентствам, предоставившим подтверждающие документы, в равных долях пропорционально количеству претендентов. В случае несогласия с процентами деления бюджета допускается уточнение справедливых пропорций с привлечением клиентской стороны.</w:t>
      </w:r>
    </w:p>
    <w:p w14:paraId="4648A427" w14:textId="77777777" w:rsidR="00F545C7" w:rsidRDefault="00F545C7">
      <w:pPr>
        <w:spacing w:after="0"/>
        <w:rPr>
          <w:rFonts w:ascii="Times New Roman" w:eastAsia="Times New Roman" w:hAnsi="Times New Roman"/>
        </w:rPr>
      </w:pPr>
    </w:p>
    <w:p w14:paraId="6BCE44F5" w14:textId="77777777" w:rsidR="00F545C7" w:rsidRDefault="00000000">
      <w:pPr>
        <w:numPr>
          <w:ilvl w:val="0"/>
          <w:numId w:val="4"/>
        </w:numPr>
        <w:spacing w:after="0"/>
        <w:jc w:val="both"/>
        <w:rPr>
          <w:rFonts w:ascii="Times New Roman" w:eastAsia="Times New Roman" w:hAnsi="Times New Roman"/>
        </w:rPr>
      </w:pPr>
      <w:r>
        <w:rPr>
          <w:rFonts w:ascii="Times New Roman" w:eastAsia="Times New Roman" w:hAnsi="Times New Roman"/>
        </w:rPr>
        <w:t>Бюджет засчитывается агентству, предоставившему подтверждающие документы, полностью, если оппоненты не подтвердили свои заявления (документы с их стороны отсутствуют или не соответствуют предмету спора / не раскрывают предмет спора.</w:t>
      </w:r>
    </w:p>
    <w:p w14:paraId="63384E35" w14:textId="77777777" w:rsidR="00F545C7" w:rsidRDefault="00F545C7">
      <w:pPr>
        <w:spacing w:after="0"/>
        <w:rPr>
          <w:rFonts w:ascii="Times New Roman" w:eastAsia="Times New Roman" w:hAnsi="Times New Roman"/>
        </w:rPr>
      </w:pPr>
    </w:p>
    <w:p w14:paraId="021D33FB" w14:textId="77777777" w:rsidR="00F545C7" w:rsidRDefault="00000000">
      <w:pPr>
        <w:numPr>
          <w:ilvl w:val="0"/>
          <w:numId w:val="4"/>
        </w:numPr>
        <w:spacing w:after="0"/>
        <w:jc w:val="both"/>
        <w:rPr>
          <w:rFonts w:ascii="Times New Roman" w:eastAsia="Times New Roman" w:hAnsi="Times New Roman"/>
        </w:rPr>
      </w:pPr>
      <w:r>
        <w:rPr>
          <w:rFonts w:ascii="Times New Roman" w:eastAsia="Times New Roman" w:hAnsi="Times New Roman"/>
        </w:rPr>
        <w:t xml:space="preserve">Если оба агентства не предоставляют документы или предоставляют документы без детализации размещения (не указаны виды медиа и сроки размещения), спорный бюджет не засчитывается ни одному из претендентов. </w:t>
      </w:r>
    </w:p>
    <w:p w14:paraId="355FC6CD" w14:textId="77777777" w:rsidR="00F545C7" w:rsidRDefault="00F545C7">
      <w:pPr>
        <w:rPr>
          <w:rFonts w:ascii="Times New Roman" w:eastAsia="Times New Roman" w:hAnsi="Times New Roman"/>
          <w:b/>
        </w:rPr>
      </w:pPr>
    </w:p>
    <w:p w14:paraId="365A7D2B" w14:textId="77777777" w:rsidR="00F545C7" w:rsidRDefault="00000000">
      <w:pPr>
        <w:spacing w:after="0" w:line="240" w:lineRule="auto"/>
        <w:rPr>
          <w:rFonts w:ascii="Times New Roman" w:eastAsia="Times New Roman" w:hAnsi="Times New Roman"/>
          <w:sz w:val="24"/>
          <w:szCs w:val="24"/>
        </w:rPr>
      </w:pPr>
      <w:r>
        <w:rPr>
          <w:rFonts w:ascii="Times New Roman" w:eastAsia="Times New Roman" w:hAnsi="Times New Roman"/>
          <w:b/>
          <w:color w:val="000000"/>
        </w:rPr>
        <w:t>Верификация</w:t>
      </w:r>
    </w:p>
    <w:p w14:paraId="4880AB2B" w14:textId="77777777" w:rsidR="00F545C7" w:rsidRDefault="00000000">
      <w:pPr>
        <w:numPr>
          <w:ilvl w:val="0"/>
          <w:numId w:val="8"/>
        </w:numPr>
        <w:spacing w:after="0" w:line="240" w:lineRule="auto"/>
        <w:jc w:val="both"/>
        <w:rPr>
          <w:rFonts w:ascii="Times New Roman" w:eastAsia="Times New Roman" w:hAnsi="Times New Roman"/>
          <w:color w:val="000000"/>
        </w:rPr>
      </w:pPr>
      <w:r>
        <w:rPr>
          <w:rFonts w:ascii="Times New Roman" w:eastAsia="Times New Roman" w:hAnsi="Times New Roman"/>
          <w:color w:val="000000"/>
        </w:rPr>
        <w:t>Все контракты, которые составляют более 5% в обороте агентства, в обязательном порядке сопровождаются документальными подтверждениями (Правило пяти процентов).</w:t>
      </w:r>
    </w:p>
    <w:p w14:paraId="0B337494" w14:textId="77777777" w:rsidR="00F545C7" w:rsidRDefault="00000000">
      <w:pPr>
        <w:numPr>
          <w:ilvl w:val="0"/>
          <w:numId w:val="8"/>
        </w:num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color w:val="000000"/>
        </w:rPr>
        <w:t>AdIndex имеет право запрашивать у агентств подтверждающие документы в отношении контрактов менее 5% в обороте в случае возникновения сомнений в подаваемой информации. Если агентство не сможет предоставить документальные подтверждения хотя бы по нескольким клиентам из числа запрашиваемых, AdIndex получает право запрашивать подтверждение по любому количеству клиентов на выбор. В случае отсутствия подтверждений по более чем 30% контрактов (количественно) агентство исключается из рейтинга с указанием причины дисквалификации. Восстановление в составе участников рейтинга допускается спустя через три года после года дисквалификации.</w:t>
      </w:r>
    </w:p>
    <w:p w14:paraId="500C1114" w14:textId="77777777" w:rsidR="00F545C7" w:rsidRDefault="00000000">
      <w:pPr>
        <w:numPr>
          <w:ilvl w:val="0"/>
          <w:numId w:val="8"/>
        </w:num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color w:val="000000"/>
        </w:rPr>
        <w:t>Распределение бюджетов группы по брендам агентств, юридические лица которых не указывают прямо на агентский бренд, производится на усмотрение группы на этапе сбора клиентских листов, и в последующем не пересматривается.</w:t>
      </w:r>
    </w:p>
    <w:p w14:paraId="79F818C2" w14:textId="77777777" w:rsidR="00F545C7" w:rsidRDefault="00000000">
      <w:pPr>
        <w:numPr>
          <w:ilvl w:val="0"/>
          <w:numId w:val="8"/>
        </w:numPr>
        <w:pBdr>
          <w:top w:val="nil"/>
          <w:left w:val="nil"/>
          <w:bottom w:val="nil"/>
          <w:right w:val="nil"/>
          <w:between w:val="nil"/>
        </w:pBdr>
        <w:spacing w:after="160" w:line="240" w:lineRule="auto"/>
        <w:rPr>
          <w:rFonts w:ascii="Times New Roman" w:eastAsia="Times New Roman" w:hAnsi="Times New Roman"/>
          <w:color w:val="000000"/>
        </w:rPr>
      </w:pPr>
      <w:r>
        <w:rPr>
          <w:rFonts w:ascii="Times New Roman" w:eastAsia="Times New Roman" w:hAnsi="Times New Roman"/>
          <w:color w:val="000000"/>
        </w:rPr>
        <w:t>Перераспределение бюджетов между агентствами внутри группы на этапе согласования оборотов запрещено.</w:t>
      </w:r>
    </w:p>
    <w:p w14:paraId="3DDACB47" w14:textId="77777777" w:rsidR="00F545C7" w:rsidRDefault="00000000">
      <w:pPr>
        <w:numPr>
          <w:ilvl w:val="0"/>
          <w:numId w:val="8"/>
        </w:numPr>
        <w:pBdr>
          <w:top w:val="nil"/>
          <w:left w:val="nil"/>
          <w:bottom w:val="nil"/>
          <w:right w:val="nil"/>
          <w:between w:val="nil"/>
        </w:pBdr>
        <w:spacing w:after="160" w:line="240" w:lineRule="auto"/>
        <w:rPr>
          <w:rFonts w:ascii="Times New Roman" w:eastAsia="Times New Roman" w:hAnsi="Times New Roman"/>
          <w:color w:val="000000"/>
        </w:rPr>
      </w:pPr>
      <w:r>
        <w:rPr>
          <w:rFonts w:ascii="Times New Roman" w:eastAsia="Times New Roman" w:hAnsi="Times New Roman"/>
          <w:color w:val="000000"/>
        </w:rPr>
        <w:t>В случае многократных нарушений принципа достоверности подаваемой информации или полного отсутствия обоснований размещений агентства из рейтинга исключаются или включаются с бюджетами, в управлении которыми у составителей нет сомнений (сетевые контракты, контракты на основе открытых тендеров и т.д.). По этой причине в рейтинге отсутствуют некоторые агентства, которые не смогли подтвердить заявленную информация в рамках фактчекинга.</w:t>
      </w:r>
    </w:p>
    <w:p w14:paraId="0DB545ED" w14:textId="77777777" w:rsidR="00F545C7" w:rsidRDefault="00000000">
      <w:pPr>
        <w:numPr>
          <w:ilvl w:val="0"/>
          <w:numId w:val="8"/>
        </w:numPr>
        <w:pBdr>
          <w:top w:val="nil"/>
          <w:left w:val="nil"/>
          <w:bottom w:val="nil"/>
          <w:right w:val="nil"/>
          <w:between w:val="nil"/>
        </w:pBdr>
        <w:spacing w:before="240" w:after="240" w:line="240" w:lineRule="auto"/>
        <w:rPr>
          <w:rFonts w:ascii="Times New Roman" w:eastAsia="Times New Roman" w:hAnsi="Times New Roman"/>
          <w:color w:val="000000"/>
        </w:rPr>
      </w:pPr>
      <w:r>
        <w:rPr>
          <w:rFonts w:ascii="Times New Roman" w:eastAsia="Times New Roman" w:hAnsi="Times New Roman"/>
          <w:color w:val="000000"/>
        </w:rPr>
        <w:t>С 2020 года копромо-проекты, в которых участвуют несколько рекламодателей, не засчитываются какому-то одному агентству. Исключение – присутствие всех рекламодателей, участвующих в кампании, в клиентском листе агентства. </w:t>
      </w:r>
    </w:p>
    <w:p w14:paraId="7E48547C" w14:textId="77777777" w:rsidR="00F545C7" w:rsidRDefault="00000000">
      <w:pPr>
        <w:spacing w:after="0" w:line="240" w:lineRule="auto"/>
        <w:rPr>
          <w:rFonts w:ascii="Times New Roman" w:eastAsia="Times New Roman" w:hAnsi="Times New Roman"/>
          <w:sz w:val="24"/>
          <w:szCs w:val="24"/>
        </w:rPr>
      </w:pPr>
      <w:r>
        <w:rPr>
          <w:rFonts w:ascii="Times New Roman" w:eastAsia="Times New Roman" w:hAnsi="Times New Roman"/>
          <w:b/>
          <w:color w:val="000000"/>
        </w:rPr>
        <w:t>Включение в оценку</w:t>
      </w:r>
    </w:p>
    <w:p w14:paraId="37DE0C83" w14:textId="76894A1B" w:rsidR="00F545C7" w:rsidRDefault="00000000">
      <w:pPr>
        <w:rPr>
          <w:rFonts w:ascii="Times New Roman" w:eastAsia="Times New Roman" w:hAnsi="Times New Roman"/>
        </w:rPr>
      </w:pPr>
      <w:r>
        <w:rPr>
          <w:rFonts w:ascii="Times New Roman" w:eastAsia="Times New Roman" w:hAnsi="Times New Roman"/>
          <w:color w:val="000000"/>
        </w:rPr>
        <w:t>В рейтинг AdIndex включаются все компании, входящие Топ-</w:t>
      </w:r>
      <w:r>
        <w:rPr>
          <w:rFonts w:ascii="Times New Roman" w:eastAsia="Times New Roman" w:hAnsi="Times New Roman"/>
        </w:rPr>
        <w:t>2</w:t>
      </w:r>
      <w:r>
        <w:rPr>
          <w:rFonts w:ascii="Times New Roman" w:eastAsia="Times New Roman" w:hAnsi="Times New Roman"/>
          <w:color w:val="000000"/>
        </w:rPr>
        <w:t>0 агентств и Топ-5 групп предыдущего выпуска. В случае отказа в предоставлении данных вычисления производятся на основе открытых источников. При этом осуществляется уведомление компаний о полученных результатах и приглашение скорректировать оценки. В случае отказа информация публикуется со сноской об отказе подтвердить или опровергнуть результаты.</w:t>
      </w:r>
    </w:p>
    <w:sectPr w:rsidR="00F545C7">
      <w:pgSz w:w="11906" w:h="16838"/>
      <w:pgMar w:top="709" w:right="850" w:bottom="1134"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1E341BF-BBC4-44A9-85CB-1EAA294782B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01A63D32-F8C4-477E-ADCB-8E92F20914F1}"/>
    <w:embedBold r:id="rId3" w:fontKey="{B9F32145-4067-4401-8BD7-17F12508AA34}"/>
    <w:embedBoldItalic r:id="rId4" w:fontKey="{35E55C08-8D28-4868-B676-C10A5EFD7537}"/>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5" w:fontKey="{B559AAF5-8C3A-4F33-9A46-CC27B3BC6139}"/>
  </w:font>
  <w:font w:name="Georgia">
    <w:panose1 w:val="02040502050405020303"/>
    <w:charset w:val="CC"/>
    <w:family w:val="roman"/>
    <w:pitch w:val="variable"/>
    <w:sig w:usb0="00000287" w:usb1="00000000" w:usb2="00000000" w:usb3="00000000" w:csb0="0000009F" w:csb1="00000000"/>
    <w:embedRegular r:id="rId6" w:fontKey="{393224B9-2560-4D81-9159-D609630A3B0C}"/>
    <w:embedItalic r:id="rId7" w:fontKey="{7EFF651F-AD5F-43A5-B3FE-8C04369FF5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73166"/>
    <w:multiLevelType w:val="multilevel"/>
    <w:tmpl w:val="964EDAE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225F53F7"/>
    <w:multiLevelType w:val="multilevel"/>
    <w:tmpl w:val="DDEEB332"/>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2" w15:restartNumberingAfterBreak="0">
    <w:nsid w:val="2B533733"/>
    <w:multiLevelType w:val="multilevel"/>
    <w:tmpl w:val="A5A4FE9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1617C"/>
    <w:multiLevelType w:val="multilevel"/>
    <w:tmpl w:val="53D2205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D860EF"/>
    <w:multiLevelType w:val="multilevel"/>
    <w:tmpl w:val="198673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3FD593E"/>
    <w:multiLevelType w:val="multilevel"/>
    <w:tmpl w:val="D19AAD9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951B56"/>
    <w:multiLevelType w:val="multilevel"/>
    <w:tmpl w:val="DC5E9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04508A"/>
    <w:multiLevelType w:val="multilevel"/>
    <w:tmpl w:val="00CE5B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36713E5"/>
    <w:multiLevelType w:val="multilevel"/>
    <w:tmpl w:val="C120856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73986EAA"/>
    <w:multiLevelType w:val="multilevel"/>
    <w:tmpl w:val="98B4A9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9952C6"/>
    <w:multiLevelType w:val="multilevel"/>
    <w:tmpl w:val="7F70796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94521633">
    <w:abstractNumId w:val="4"/>
  </w:num>
  <w:num w:numId="2" w16cid:durableId="1427340704">
    <w:abstractNumId w:val="3"/>
  </w:num>
  <w:num w:numId="3" w16cid:durableId="241723875">
    <w:abstractNumId w:val="8"/>
  </w:num>
  <w:num w:numId="4" w16cid:durableId="567955709">
    <w:abstractNumId w:val="6"/>
  </w:num>
  <w:num w:numId="5" w16cid:durableId="920481650">
    <w:abstractNumId w:val="9"/>
  </w:num>
  <w:num w:numId="6" w16cid:durableId="1525091422">
    <w:abstractNumId w:val="0"/>
  </w:num>
  <w:num w:numId="7" w16cid:durableId="1515999317">
    <w:abstractNumId w:val="10"/>
  </w:num>
  <w:num w:numId="8" w16cid:durableId="2082633307">
    <w:abstractNumId w:val="1"/>
  </w:num>
  <w:num w:numId="9" w16cid:durableId="1923566119">
    <w:abstractNumId w:val="2"/>
  </w:num>
  <w:num w:numId="10" w16cid:durableId="1058167859">
    <w:abstractNumId w:val="5"/>
  </w:num>
  <w:num w:numId="11" w16cid:durableId="13775826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5C7"/>
    <w:rsid w:val="000D0041"/>
    <w:rsid w:val="001D1B24"/>
    <w:rsid w:val="00325384"/>
    <w:rsid w:val="006A73FB"/>
    <w:rsid w:val="00C64B2B"/>
    <w:rsid w:val="00D10DF1"/>
    <w:rsid w:val="00F54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6E144"/>
  <w15:docId w15:val="{8DBC2036-BF04-4989-AA5F-A2D771A8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1553"/>
    <w:rPr>
      <w:rFonts w:cs="Times New Roman"/>
    </w:rPr>
  </w:style>
  <w:style w:type="paragraph" w:styleId="1">
    <w:name w:val="heading 1"/>
    <w:basedOn w:val="a"/>
    <w:next w:val="a"/>
    <w:link w:val="10"/>
    <w:uiPriority w:val="9"/>
    <w:qFormat/>
    <w:rsid w:val="00DC33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5E1553"/>
    <w:pPr>
      <w:ind w:left="720"/>
      <w:contextualSpacing/>
    </w:pPr>
  </w:style>
  <w:style w:type="paragraph" w:styleId="a5">
    <w:name w:val="Intense Quote"/>
    <w:basedOn w:val="a"/>
    <w:next w:val="a"/>
    <w:link w:val="a6"/>
    <w:uiPriority w:val="30"/>
    <w:qFormat/>
    <w:rsid w:val="005E1553"/>
    <w:pPr>
      <w:pBdr>
        <w:bottom w:val="single" w:sz="4" w:space="4" w:color="4472C4" w:themeColor="accent1"/>
      </w:pBdr>
      <w:spacing w:before="200" w:after="280"/>
      <w:ind w:left="936" w:right="936"/>
    </w:pPr>
    <w:rPr>
      <w:rFonts w:asciiTheme="minorHAnsi" w:eastAsiaTheme="minorHAnsi" w:hAnsiTheme="minorHAnsi" w:cstheme="minorBidi"/>
      <w:b/>
      <w:bCs/>
      <w:i/>
      <w:iCs/>
      <w:color w:val="4472C4" w:themeColor="accent1"/>
    </w:rPr>
  </w:style>
  <w:style w:type="character" w:customStyle="1" w:styleId="a6">
    <w:name w:val="Выделенная цитата Знак"/>
    <w:basedOn w:val="a0"/>
    <w:link w:val="a5"/>
    <w:uiPriority w:val="30"/>
    <w:rsid w:val="005E1553"/>
    <w:rPr>
      <w:b/>
      <w:bCs/>
      <w:i/>
      <w:iCs/>
      <w:color w:val="4472C4" w:themeColor="accent1"/>
    </w:rPr>
  </w:style>
  <w:style w:type="character" w:styleId="a7">
    <w:name w:val="Hyperlink"/>
    <w:basedOn w:val="a0"/>
    <w:uiPriority w:val="99"/>
    <w:unhideWhenUsed/>
    <w:rsid w:val="00476866"/>
    <w:rPr>
      <w:color w:val="0000FF"/>
      <w:u w:val="single"/>
    </w:rPr>
  </w:style>
  <w:style w:type="character" w:styleId="a8">
    <w:name w:val="Unresolved Mention"/>
    <w:basedOn w:val="a0"/>
    <w:uiPriority w:val="99"/>
    <w:semiHidden/>
    <w:unhideWhenUsed/>
    <w:rsid w:val="00D064D4"/>
    <w:rPr>
      <w:color w:val="605E5C"/>
      <w:shd w:val="clear" w:color="auto" w:fill="E1DFDD"/>
    </w:rPr>
  </w:style>
  <w:style w:type="character" w:customStyle="1" w:styleId="10">
    <w:name w:val="Заголовок 1 Знак"/>
    <w:basedOn w:val="a0"/>
    <w:link w:val="1"/>
    <w:uiPriority w:val="9"/>
    <w:rsid w:val="00DC33F4"/>
    <w:rPr>
      <w:rFonts w:asciiTheme="majorHAnsi" w:eastAsiaTheme="majorEastAsia" w:hAnsiTheme="majorHAnsi" w:cstheme="majorBidi"/>
      <w:color w:val="2F5496" w:themeColor="accent1" w:themeShade="BF"/>
      <w:sz w:val="32"/>
      <w:szCs w:val="32"/>
    </w:rPr>
  </w:style>
  <w:style w:type="paragraph" w:styleId="a9">
    <w:name w:val="Normal (Web)"/>
    <w:basedOn w:val="a"/>
    <w:uiPriority w:val="99"/>
    <w:semiHidden/>
    <w:unhideWhenUsed/>
    <w:rsid w:val="008759AE"/>
    <w:pPr>
      <w:spacing w:before="100" w:beforeAutospacing="1" w:after="100" w:afterAutospacing="1" w:line="240" w:lineRule="auto"/>
    </w:pPr>
    <w:rPr>
      <w:rFonts w:ascii="Times New Roman" w:eastAsia="Times New Roman" w:hAnsi="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gUNtJn3NmcPxomm+gLaZedUc4A==">CgMxLjAyCmlkLjMwajB6bGwyCGguZ2pkZ3hzMgppZC4zem55c2g3MgloLjFmb2I5dGUyCmlkLjJzOGV5bzEyCmlkLjNkeTZ2a20yCmlkLjI2aW4xcmcyCmlkLjE3ZHA4dnUyCmlkLjNyZGNyam4yCmlkLjFrc3Y0dXYyCmlkLjM1bmt1bjIyCWlkLmxueGJ6OTIKaWQuNGQzNG9nODIKaWQuMXQzaDVzZjIIaC50eWpjd3Q4AHIhMUtZWEYwU2pYQ043ckxwZ2hSWjFZeHpNa3RUcWhfbm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2245</Words>
  <Characters>12797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Пустовит</dc:creator>
  <cp:lastModifiedBy>Ирина Пустовит</cp:lastModifiedBy>
  <cp:revision>2</cp:revision>
  <dcterms:created xsi:type="dcterms:W3CDTF">2023-02-16T11:00:00Z</dcterms:created>
  <dcterms:modified xsi:type="dcterms:W3CDTF">2025-02-05T10:51:00Z</dcterms:modified>
</cp:coreProperties>
</file>