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C5DB" w14:textId="77777777" w:rsidR="000576CF" w:rsidRDefault="0000000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РЕЙТИНГ КРУПНЕЙШИХ РЕКЛАМОДАТЕЛЕЙ И АГЕНТСТВ</w:t>
      </w:r>
    </w:p>
    <w:p w14:paraId="26FD64DC" w14:textId="77777777" w:rsidR="000576CF" w:rsidRDefault="0000000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Описание проекта</w:t>
      </w:r>
    </w:p>
    <w:p w14:paraId="621320F7" w14:textId="406F051B" w:rsidR="000576CF" w:rsidRDefault="00940701">
      <w:pPr>
        <w:ind w:right="1075"/>
        <w:rPr>
          <w:rFonts w:ascii="Times New Roman" w:eastAsia="Times New Roman" w:hAnsi="Times New Roman"/>
        </w:rPr>
      </w:pPr>
      <w:r w:rsidRPr="00940701">
        <w:rPr>
          <w:rFonts w:ascii="Times New Roman" w:eastAsia="Times New Roman" w:hAnsi="Times New Roman"/>
        </w:rPr>
        <w:t xml:space="preserve">Бюджеты на рекламу оцениваются в тех каналах, где есть независимый мониторинг размещений – на ТВ, в прессе, на радио, в наружной рекламе и в интернете.  Офлайн-мониторинг предоставлен исследовательской компанией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 w:rsidRPr="00940701">
        <w:rPr>
          <w:rFonts w:ascii="Times New Roman" w:eastAsia="Times New Roman" w:hAnsi="Times New Roman"/>
        </w:rPr>
        <w:t xml:space="preserve">. Бюджеты наружной рекламы посчитаны на основании данных компании </w:t>
      </w:r>
      <w:proofErr w:type="spellStart"/>
      <w:r w:rsidRPr="00940701">
        <w:rPr>
          <w:rFonts w:ascii="Times New Roman" w:eastAsia="Times New Roman" w:hAnsi="Times New Roman"/>
        </w:rPr>
        <w:t>Admetrix</w:t>
      </w:r>
      <w:proofErr w:type="spellEnd"/>
      <w:r w:rsidRPr="00940701">
        <w:rPr>
          <w:rFonts w:ascii="Times New Roman" w:eastAsia="Times New Roman" w:hAnsi="Times New Roman"/>
        </w:rPr>
        <w:t xml:space="preserve">.  </w:t>
      </w:r>
      <w:r>
        <w:rPr>
          <w:rFonts w:ascii="Times New Roman" w:eastAsia="Times New Roman" w:hAnsi="Times New Roman"/>
        </w:rPr>
        <w:t xml:space="preserve">Расходы в интернете запрашивались в компании Digital </w:t>
      </w:r>
      <w:proofErr w:type="gramStart"/>
      <w:r>
        <w:rPr>
          <w:rFonts w:ascii="Times New Roman" w:eastAsia="Times New Roman" w:hAnsi="Times New Roman"/>
        </w:rPr>
        <w:t>Budget..</w:t>
      </w:r>
      <w:proofErr w:type="gramEnd"/>
      <w:r>
        <w:rPr>
          <w:rFonts w:ascii="Times New Roman" w:eastAsia="Times New Roman" w:hAnsi="Times New Roman"/>
        </w:rPr>
        <w:t xml:space="preserve"> Подходы к оценке, а также условия, по которым рекламодатели закупали рекламу в 2023 году, сформированы с привлечением экспертизы компаний: </w:t>
      </w:r>
      <w:proofErr w:type="spellStart"/>
      <w:r>
        <w:rPr>
          <w:rFonts w:ascii="Times New Roman" w:eastAsia="Times New Roman" w:hAnsi="Times New Roman"/>
        </w:rPr>
        <w:t>Adventum</w:t>
      </w:r>
      <w:proofErr w:type="spellEnd"/>
      <w:r>
        <w:rPr>
          <w:rFonts w:ascii="Times New Roman" w:eastAsia="Times New Roman" w:hAnsi="Times New Roman"/>
        </w:rPr>
        <w:t xml:space="preserve">, AMDG, Digital Budget, Group4Media, i-Media, Media </w:t>
      </w:r>
      <w:proofErr w:type="spellStart"/>
      <w:r>
        <w:rPr>
          <w:rFonts w:ascii="Times New Roman" w:eastAsia="Times New Roman" w:hAnsi="Times New Roman"/>
        </w:rPr>
        <w:t>Instinct</w:t>
      </w:r>
      <w:proofErr w:type="spellEnd"/>
      <w:r>
        <w:rPr>
          <w:rFonts w:ascii="Times New Roman" w:eastAsia="Times New Roman" w:hAnsi="Times New Roman"/>
        </w:rPr>
        <w:t xml:space="preserve"> Group, </w:t>
      </w:r>
      <w:proofErr w:type="spellStart"/>
      <w:r>
        <w:rPr>
          <w:rFonts w:ascii="Times New Roman" w:eastAsia="Times New Roman" w:hAnsi="Times New Roman"/>
        </w:rPr>
        <w:t>Nectarin</w:t>
      </w:r>
      <w:proofErr w:type="spellEnd"/>
      <w:r>
        <w:rPr>
          <w:rFonts w:ascii="Times New Roman" w:eastAsia="Times New Roman" w:hAnsi="Times New Roman"/>
        </w:rPr>
        <w:t xml:space="preserve">, NMI Group, OMD OM Group, </w:t>
      </w:r>
      <w:proofErr w:type="gramStart"/>
      <w:r>
        <w:rPr>
          <w:rFonts w:ascii="Times New Roman" w:eastAsia="Times New Roman" w:hAnsi="Times New Roman"/>
        </w:rPr>
        <w:t>RTA:,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SkyAlliance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Starlink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Артикс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Tandem</w:t>
      </w:r>
      <w:proofErr w:type="spellEnd"/>
      <w:r>
        <w:rPr>
          <w:rFonts w:ascii="Times New Roman" w:eastAsia="Times New Roman" w:hAnsi="Times New Roman"/>
        </w:rPr>
        <w:t xml:space="preserve"> Group, «</w:t>
      </w:r>
      <w:proofErr w:type="spellStart"/>
      <w:r>
        <w:rPr>
          <w:rFonts w:ascii="Times New Roman" w:eastAsia="Times New Roman" w:hAnsi="Times New Roman"/>
        </w:rPr>
        <w:t>РоРе</w:t>
      </w:r>
      <w:proofErr w:type="spellEnd"/>
      <w:r>
        <w:rPr>
          <w:rFonts w:ascii="Times New Roman" w:eastAsia="Times New Roman" w:hAnsi="Times New Roman"/>
        </w:rPr>
        <w:t>» и «</w:t>
      </w:r>
      <w:proofErr w:type="spellStart"/>
      <w:r>
        <w:rPr>
          <w:rFonts w:ascii="Times New Roman" w:eastAsia="Times New Roman" w:hAnsi="Times New Roman"/>
        </w:rPr>
        <w:t>Сбермаркетинг</w:t>
      </w:r>
      <w:proofErr w:type="spellEnd"/>
      <w:r>
        <w:rPr>
          <w:rFonts w:ascii="Times New Roman" w:eastAsia="Times New Roman" w:hAnsi="Times New Roman"/>
        </w:rPr>
        <w:t xml:space="preserve">». В результате поэтапного согласования методики были определены факторы, способные повлиять на оценку, и подготовлены механизмы учета их влияния. </w:t>
      </w:r>
    </w:p>
    <w:p w14:paraId="12E483CB" w14:textId="77777777" w:rsidR="000576CF" w:rsidRDefault="000000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Бюджеты приводятся в млн рублей, без НДС.</w:t>
      </w:r>
    </w:p>
    <w:p w14:paraId="63A0B0FA" w14:textId="77777777" w:rsidR="000576CF" w:rsidRDefault="000576CF">
      <w:pPr>
        <w:rPr>
          <w:rFonts w:ascii="Times New Roman" w:eastAsia="Times New Roman" w:hAnsi="Times New Roman"/>
        </w:rPr>
      </w:pPr>
    </w:p>
    <w:p w14:paraId="26B2436F" w14:textId="77777777" w:rsidR="000576CF" w:rsidRDefault="00000000">
      <w:pPr>
        <w:pBdr>
          <w:bottom w:val="single" w:sz="4" w:space="1" w:color="000000"/>
        </w:pBd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МЕТОДИКА ОЦЕНКИ БЮДЖЕТОВ 2023 ГОДА</w:t>
      </w:r>
    </w:p>
    <w:p w14:paraId="1FD1C049" w14:textId="77777777" w:rsidR="000576CF" w:rsidRDefault="0000000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ТВ</w:t>
      </w:r>
    </w:p>
    <w:p w14:paraId="4CCA6485" w14:textId="37F274B5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 оценке бюджетов на национальном (в </w:t>
      </w:r>
      <w:proofErr w:type="gramStart"/>
      <w:r>
        <w:rPr>
          <w:rFonts w:ascii="Times New Roman" w:eastAsia="Times New Roman" w:hAnsi="Times New Roman"/>
        </w:rPr>
        <w:t>т.ч.</w:t>
      </w:r>
      <w:proofErr w:type="gramEnd"/>
      <w:r>
        <w:rPr>
          <w:rFonts w:ascii="Times New Roman" w:eastAsia="Times New Roman" w:hAnsi="Times New Roman"/>
        </w:rPr>
        <w:t xml:space="preserve"> неэфирном, продаваемом по пунктам рейтинга) и региональном ТВ эмпирическим была выведена зависимость скидки от бюджета по оценке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>. Полученная скидка применялась к данным мониторинга (бюджеты по прайс-листам) с применением в национальном ТВ бонусов в зависимости от месяца, отдельно по сетевой и орбитальной рекламе.</w:t>
      </w:r>
    </w:p>
    <w:p w14:paraId="0B7F1E68" w14:textId="7777777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Этапы оценки</w:t>
      </w:r>
    </w:p>
    <w:p w14:paraId="26BE3853" w14:textId="5DC042FF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  <w:t xml:space="preserve">Определение зависимости дополнительной скидки от Rate Card по оценке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>.</w:t>
      </w:r>
    </w:p>
    <w:p w14:paraId="6A8398FF" w14:textId="5E8E1B6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  <w:t xml:space="preserve">Определение совокупного бюджета рекламодателя по Rate Card по оценке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 xml:space="preserve"> в национальном, неэфирном и региональном ТВ (отдельно по Москве, Санкт-Петербургу и остальным городам мониторинга).</w:t>
      </w:r>
    </w:p>
    <w:p w14:paraId="55916E77" w14:textId="7B72802D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ab/>
        <w:t xml:space="preserve">Исключение из бюджетов по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 xml:space="preserve"> объема бонусов по месяцам, отдельно по сетевым и орбитальным блокам, по формуле:</w:t>
      </w:r>
    </w:p>
    <w:p w14:paraId="4747A06C" w14:textId="493C1D65" w:rsidR="000576CF" w:rsidRDefault="00000000">
      <w:pPr>
        <w:ind w:left="709"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Бюджет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 xml:space="preserve"> без бонусов = бюджет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r>
        <w:rPr>
          <w:rFonts w:ascii="Times New Roman" w:eastAsia="Times New Roman" w:hAnsi="Times New Roman"/>
        </w:rPr>
        <w:t>_янв_сеть</w:t>
      </w:r>
      <w:proofErr w:type="spellEnd"/>
      <w:r>
        <w:rPr>
          <w:rFonts w:ascii="Times New Roman" w:eastAsia="Times New Roman" w:hAnsi="Times New Roman"/>
        </w:rPr>
        <w:t xml:space="preserve"> / (1 + </w:t>
      </w:r>
      <w:proofErr w:type="spellStart"/>
      <w:r>
        <w:rPr>
          <w:rFonts w:ascii="Times New Roman" w:eastAsia="Times New Roman" w:hAnsi="Times New Roman"/>
        </w:rPr>
        <w:t>бонусы_сеть_янв</w:t>
      </w:r>
      <w:proofErr w:type="spellEnd"/>
      <w:r>
        <w:rPr>
          <w:rFonts w:ascii="Times New Roman" w:eastAsia="Times New Roman" w:hAnsi="Times New Roman"/>
        </w:rPr>
        <w:t xml:space="preserve">) + ... + бюджет из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r>
        <w:rPr>
          <w:rFonts w:ascii="Times New Roman" w:eastAsia="Times New Roman" w:hAnsi="Times New Roman"/>
        </w:rPr>
        <w:t>_дек_орб</w:t>
      </w:r>
      <w:proofErr w:type="spellEnd"/>
      <w:r>
        <w:rPr>
          <w:rFonts w:ascii="Times New Roman" w:eastAsia="Times New Roman" w:hAnsi="Times New Roman"/>
        </w:rPr>
        <w:t xml:space="preserve"> / (1 + </w:t>
      </w:r>
      <w:proofErr w:type="spellStart"/>
      <w:r>
        <w:rPr>
          <w:rFonts w:ascii="Times New Roman" w:eastAsia="Times New Roman" w:hAnsi="Times New Roman"/>
        </w:rPr>
        <w:t>бонусы_орб_дек</w:t>
      </w:r>
      <w:proofErr w:type="spellEnd"/>
      <w:r>
        <w:rPr>
          <w:rFonts w:ascii="Times New Roman" w:eastAsia="Times New Roman" w:hAnsi="Times New Roman"/>
        </w:rPr>
        <w:t>).</w:t>
      </w:r>
    </w:p>
    <w:p w14:paraId="21E23D3B" w14:textId="77777777" w:rsidR="000576CF" w:rsidRDefault="00000000">
      <w:pPr>
        <w:ind w:left="567" w:right="1075" w:hanging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</w:t>
      </w:r>
      <w:r>
        <w:rPr>
          <w:rFonts w:ascii="Times New Roman" w:eastAsia="Times New Roman" w:hAnsi="Times New Roman"/>
        </w:rPr>
        <w:tab/>
        <w:t xml:space="preserve">Расчет итогового бюджета рекламодателя по формуле Z = X * (1 - Y), где </w:t>
      </w:r>
    </w:p>
    <w:p w14:paraId="7F53CCC8" w14:textId="77777777" w:rsidR="000576CF" w:rsidRDefault="00000000">
      <w:pPr>
        <w:spacing w:line="240" w:lineRule="auto"/>
        <w:ind w:left="709"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- оценка реального бюджета клиента в национальном ТВ (сеть + орбита)</w:t>
      </w:r>
    </w:p>
    <w:p w14:paraId="4CE41861" w14:textId="21665789" w:rsidR="000576CF" w:rsidRDefault="00000000">
      <w:pPr>
        <w:spacing w:line="240" w:lineRule="auto"/>
        <w:ind w:left="709"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Х - бюджет клиента по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 xml:space="preserve">, уменьшенный на </w:t>
      </w:r>
      <w:proofErr w:type="spellStart"/>
      <w:r>
        <w:rPr>
          <w:rFonts w:ascii="Times New Roman" w:eastAsia="Times New Roman" w:hAnsi="Times New Roman"/>
        </w:rPr>
        <w:t>эстимированный</w:t>
      </w:r>
      <w:proofErr w:type="spellEnd"/>
      <w:r>
        <w:rPr>
          <w:rFonts w:ascii="Times New Roman" w:eastAsia="Times New Roman" w:hAnsi="Times New Roman"/>
        </w:rPr>
        <w:t xml:space="preserve"> объем бонусов</w:t>
      </w:r>
    </w:p>
    <w:p w14:paraId="658827AA" w14:textId="77777777" w:rsidR="000576CF" w:rsidRDefault="00000000">
      <w:pPr>
        <w:spacing w:line="240" w:lineRule="auto"/>
        <w:ind w:left="709"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Y - </w:t>
      </w:r>
      <w:proofErr w:type="spellStart"/>
      <w:r>
        <w:rPr>
          <w:rFonts w:ascii="Times New Roman" w:eastAsia="Times New Roman" w:hAnsi="Times New Roman"/>
        </w:rPr>
        <w:t>экспертно</w:t>
      </w:r>
      <w:proofErr w:type="spellEnd"/>
      <w:r>
        <w:rPr>
          <w:rFonts w:ascii="Times New Roman" w:eastAsia="Times New Roman" w:hAnsi="Times New Roman"/>
        </w:rPr>
        <w:t xml:space="preserve"> определенный размер скидки</w:t>
      </w:r>
    </w:p>
    <w:p w14:paraId="33668A36" w14:textId="77777777" w:rsidR="000576CF" w:rsidRDefault="00000000">
      <w:pPr>
        <w:spacing w:line="240" w:lineRule="auto"/>
        <w:ind w:left="709"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Итоговая формула расчета скидки выводилась экспертным опросом.</w:t>
      </w:r>
    </w:p>
    <w:p w14:paraId="7FD11134" w14:textId="77777777" w:rsidR="000576CF" w:rsidRDefault="00000000">
      <w:pPr>
        <w:spacing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НОВОЕ В 2023 ГОДУ</w:t>
      </w:r>
    </w:p>
    <w:p w14:paraId="128E050F" w14:textId="77777777" w:rsidR="000576C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К бюджетам рекламодателей на национальном ТВ, начавшим размещение во втором полугодии 202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color w:val="000000"/>
        </w:rPr>
        <w:t xml:space="preserve"> года, применялась наценка</w:t>
      </w:r>
      <w:r>
        <w:rPr>
          <w:rFonts w:ascii="Times New Roman" w:eastAsia="Times New Roman" w:hAnsi="Times New Roman"/>
        </w:rPr>
        <w:t>, установленная НРА для ряда каналов</w:t>
      </w:r>
      <w:r>
        <w:rPr>
          <w:rFonts w:ascii="Times New Roman" w:eastAsia="Times New Roman" w:hAnsi="Times New Roman"/>
          <w:color w:val="000000"/>
        </w:rPr>
        <w:t xml:space="preserve">. Список таких рекламодателей </w:t>
      </w:r>
      <w:r>
        <w:rPr>
          <w:rFonts w:ascii="Times New Roman" w:eastAsia="Times New Roman" w:hAnsi="Times New Roman"/>
        </w:rPr>
        <w:t>определялся экспертным опросом.</w:t>
      </w:r>
    </w:p>
    <w:p w14:paraId="6D64CC04" w14:textId="77777777" w:rsidR="000576CF" w:rsidRDefault="000576CF">
      <w:pPr>
        <w:spacing w:after="0" w:line="360" w:lineRule="auto"/>
        <w:rPr>
          <w:rFonts w:ascii="Times New Roman" w:eastAsia="Times New Roman" w:hAnsi="Times New Roman"/>
        </w:rPr>
      </w:pPr>
    </w:p>
    <w:p w14:paraId="4EF39ECD" w14:textId="77777777" w:rsidR="000576CF" w:rsidRDefault="0000000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СПОНСОРСКОЕ ТВ</w:t>
      </w:r>
    </w:p>
    <w:p w14:paraId="7320074B" w14:textId="7777777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 оценке электронного спонсорства (заставки) для каждого телеканала в ходе опроса </w:t>
      </w:r>
      <w:proofErr w:type="spellStart"/>
      <w:r>
        <w:rPr>
          <w:rFonts w:ascii="Times New Roman" w:eastAsia="Times New Roman" w:hAnsi="Times New Roman"/>
        </w:rPr>
        <w:t>баинговых</w:t>
      </w:r>
      <w:proofErr w:type="spellEnd"/>
      <w:r>
        <w:rPr>
          <w:rFonts w:ascii="Times New Roman" w:eastAsia="Times New Roman" w:hAnsi="Times New Roman"/>
        </w:rPr>
        <w:t xml:space="preserve"> экспертов определяется СРР спонсорской заставки. В зависимости от накопленного бюджета рекламодатели были разделены на три кластера, в каждом из которых принимался поправочный коэффициент. Телемагазины выделялись в отдельный кластер. Перечень таких рекламодателей определялся экспертным опросом.</w:t>
      </w:r>
    </w:p>
    <w:tbl>
      <w:tblPr>
        <w:tblStyle w:val="ac"/>
        <w:tblW w:w="67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60"/>
        <w:gridCol w:w="3980"/>
        <w:gridCol w:w="1493"/>
      </w:tblGrid>
      <w:tr w:rsidR="000576CF" w14:paraId="368B4D97" w14:textId="77777777">
        <w:trPr>
          <w:trHeight w:val="8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4CCDF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Кластер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44DF8" w14:textId="77777777" w:rsidR="000576CF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Границы кластеров, % накопленным итогом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FFD76" w14:textId="77777777" w:rsidR="000576C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Коэффициент</w:t>
            </w:r>
          </w:p>
        </w:tc>
      </w:tr>
      <w:tr w:rsidR="000576CF" w14:paraId="5136769C" w14:textId="77777777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bottom"/>
          </w:tcPr>
          <w:p w14:paraId="192C7CC3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15B0" w14:textId="77777777" w:rsidR="000576CF" w:rsidRDefault="00000000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15-75</w:t>
            </w:r>
            <w:proofErr w:type="gramEnd"/>
            <w:r>
              <w:rPr>
                <w:color w:val="000000"/>
              </w:rPr>
              <w:t>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DA67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0576CF" w14:paraId="77B254B3" w14:textId="77777777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31712CAB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B6879" w14:textId="77777777" w:rsidR="000576C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75%-90%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3C751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>
              <w:t>5</w:t>
            </w:r>
          </w:p>
        </w:tc>
      </w:tr>
      <w:tr w:rsidR="000576CF" w14:paraId="6AC05177" w14:textId="77777777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14:paraId="0F6854E9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E281E" w14:textId="77777777" w:rsidR="000576C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Более 90%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5C696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76CF" w14:paraId="4A077980" w14:textId="77777777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F022E6D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BF087" w14:textId="77777777" w:rsidR="000576CF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Телемагазины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7384B" w14:textId="77777777" w:rsidR="000576C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>
              <w:t>2</w:t>
            </w:r>
          </w:p>
        </w:tc>
      </w:tr>
    </w:tbl>
    <w:p w14:paraId="1BCCFEB1" w14:textId="77777777" w:rsidR="000576CF" w:rsidRDefault="000576CF">
      <w:pPr>
        <w:ind w:right="1075"/>
        <w:rPr>
          <w:rFonts w:ascii="Times New Roman" w:eastAsia="Times New Roman" w:hAnsi="Times New Roman"/>
        </w:rPr>
      </w:pPr>
    </w:p>
    <w:p w14:paraId="225381F4" w14:textId="7777777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спонсорские бюджеты на ТВ, помимо заставок, включаются все попадающие в мониторинг интеграции. Для этого в рамках опроса выясняется стоимость присутствия брендов в контенте каналов. (когда продукт рекламируется в ходе передачи или иным образом интегрирован в контент), которая затем умножается на длительность демонстрации продукта по мониторингу. Выходы, которые в мониторинге фиксировались с нулевой длительностью, оценивались в 10 секунд, а бюджет рассчитывался с применением общих расценок. </w:t>
      </w:r>
    </w:p>
    <w:p w14:paraId="78AD2336" w14:textId="77777777" w:rsidR="000576CF" w:rsidRDefault="00000000">
      <w:pPr>
        <w:ind w:right="107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НИШЕВОЕ ТВ</w:t>
      </w:r>
    </w:p>
    <w:p w14:paraId="252CC9F3" w14:textId="18C47AED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Бюджеты неэфирных телеканалов, распространяющихся через кабель и спутник, оценивались через две статистики. Пулы каналов, входящие в пакеты НРА и продаваемые по пунктам рейтинга (так называемые рекламные каналы), оценивались через зависимость скидки от бюджета по оценке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 xml:space="preserve">. Четыре канала (1ТВЧ, Мульт, Мульт Плюс, Феникс) оценивались через среднюю стоимость пункта рейтинга (СРР). При оценке бюджетов на этих каналах учитывались сезонные особенности. </w:t>
      </w:r>
    </w:p>
    <w:p w14:paraId="424C4884" w14:textId="7777777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Бюджеты каналов, продаваемых по минутам, оценивались через полученную в ходе опроса среднюю стоимость одной минуты рекламы для всех попадающих в мониторинг вещателей.</w:t>
      </w:r>
    </w:p>
    <w:p w14:paraId="0386D69C" w14:textId="77777777" w:rsidR="000576CF" w:rsidRDefault="00000000">
      <w:pPr>
        <w:ind w:right="107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РАДИО</w:t>
      </w:r>
    </w:p>
    <w:p w14:paraId="66E3CC4D" w14:textId="7777777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ходе оценки бюджетов на региональное радио определялась средняя стоимость одной минуты рекламы для каждой радиостанции как в сетевом размещении, так и в локальном эфире Москвы и Санкт-Петербурга. В зависимости от накопленного бюджета рекламодатели были разделены на четыре кластера, в каждом из которых применялись свои расценки.</w:t>
      </w:r>
    </w:p>
    <w:p w14:paraId="4C219790" w14:textId="77777777" w:rsidR="000576CF" w:rsidRDefault="000576CF">
      <w:pPr>
        <w:ind w:right="1075"/>
        <w:rPr>
          <w:rFonts w:ascii="Times New Roman" w:eastAsia="Times New Roman" w:hAnsi="Times New Roman"/>
        </w:rPr>
      </w:pPr>
    </w:p>
    <w:p w14:paraId="3FC0573D" w14:textId="77777777" w:rsidR="000576CF" w:rsidRDefault="00000000">
      <w:pPr>
        <w:spacing w:after="0"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ПРЕССА</w:t>
      </w:r>
    </w:p>
    <w:p w14:paraId="50DF9687" w14:textId="77777777" w:rsidR="000576CF" w:rsidRDefault="000000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В оценке расходов на центральную прессу к бюджетам, которые дает мониторинг, применяется среднерыночная скидка, которая высчитывается, исходя из экспертного опроса. Учитывались также наценки на эксклюзивные форматы рекламы: рубрика, обложка, приоритетная полоса и </w:t>
      </w:r>
      <w:proofErr w:type="gramStart"/>
      <w:r>
        <w:rPr>
          <w:rFonts w:ascii="Times New Roman" w:eastAsia="Times New Roman" w:hAnsi="Times New Roman"/>
        </w:rPr>
        <w:t>т.д.</w:t>
      </w:r>
      <w:proofErr w:type="gramEnd"/>
    </w:p>
    <w:p w14:paraId="2C9E8AF1" w14:textId="77777777" w:rsidR="000576CF" w:rsidRDefault="00000000">
      <w:pPr>
        <w:spacing w:after="0" w:line="36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НАРУЖНАЯ РЕКЛАМА</w:t>
      </w:r>
    </w:p>
    <w:p w14:paraId="5945077B" w14:textId="7777777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Расходы на наружную рекламу по результатам мониторинга в 50 крупнейших городах базировалась на данных компании «ЭСПАР-Аналитик» / </w:t>
      </w:r>
      <w:proofErr w:type="spellStart"/>
      <w:r>
        <w:rPr>
          <w:rFonts w:ascii="Times New Roman" w:eastAsia="Times New Roman" w:hAnsi="Times New Roman"/>
        </w:rPr>
        <w:t>Admetrix</w:t>
      </w:r>
      <w:proofErr w:type="spellEnd"/>
      <w:r>
        <w:rPr>
          <w:rFonts w:ascii="Times New Roman" w:eastAsia="Times New Roman" w:hAnsi="Times New Roman"/>
        </w:rPr>
        <w:t xml:space="preserve">. Для каждого формата применялись коэффициенты, отражающие особенности размещения на конструкциях различных форматов, отдельно по Москве и регионам. Эти данные также запрашивались в </w:t>
      </w:r>
      <w:proofErr w:type="spellStart"/>
      <w:r>
        <w:rPr>
          <w:rFonts w:ascii="Times New Roman" w:eastAsia="Times New Roman" w:hAnsi="Times New Roman"/>
        </w:rPr>
        <w:t>баинговых</w:t>
      </w:r>
      <w:proofErr w:type="spellEnd"/>
      <w:r>
        <w:rPr>
          <w:rFonts w:ascii="Times New Roman" w:eastAsia="Times New Roman" w:hAnsi="Times New Roman"/>
        </w:rPr>
        <w:t xml:space="preserve"> компаниях.</w:t>
      </w:r>
    </w:p>
    <w:p w14:paraId="483CE1E9" w14:textId="77777777" w:rsidR="000576CF" w:rsidRDefault="0000000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ИНТЕРНЕТ</w:t>
      </w:r>
    </w:p>
    <w:p w14:paraId="62B37485" w14:textId="77777777" w:rsidR="000576CF" w:rsidRDefault="000000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целей данного исследования компания </w:t>
      </w:r>
      <w:proofErr w:type="spellStart"/>
      <w:r>
        <w:rPr>
          <w:rFonts w:ascii="Times New Roman" w:eastAsia="Times New Roman" w:hAnsi="Times New Roman"/>
        </w:rPr>
        <w:t>DigitalBudget</w:t>
      </w:r>
      <w:proofErr w:type="spellEnd"/>
      <w:r>
        <w:rPr>
          <w:rFonts w:ascii="Times New Roman" w:eastAsia="Times New Roman" w:hAnsi="Times New Roman"/>
        </w:rPr>
        <w:t xml:space="preserve"> оценивает бюджеты в интернет-каналах, основываясь на мониторинге платформы </w:t>
      </w:r>
      <w:proofErr w:type="spellStart"/>
      <w:r>
        <w:rPr>
          <w:rFonts w:ascii="Times New Roman" w:eastAsia="Times New Roman" w:hAnsi="Times New Roman"/>
        </w:rPr>
        <w:t>SimilarWeb</w:t>
      </w:r>
      <w:proofErr w:type="spellEnd"/>
      <w:r>
        <w:rPr>
          <w:rFonts w:ascii="Times New Roman" w:eastAsia="Times New Roman" w:hAnsi="Times New Roman"/>
        </w:rPr>
        <w:t xml:space="preserve">. Получая из </w:t>
      </w:r>
      <w:proofErr w:type="spellStart"/>
      <w:r>
        <w:rPr>
          <w:rFonts w:ascii="Times New Roman" w:eastAsia="Times New Roman" w:hAnsi="Times New Roman"/>
        </w:rPr>
        <w:t>SimilarWeb</w:t>
      </w:r>
      <w:proofErr w:type="spellEnd"/>
      <w:r>
        <w:rPr>
          <w:rFonts w:ascii="Times New Roman" w:eastAsia="Times New Roman" w:hAnsi="Times New Roman"/>
        </w:rPr>
        <w:t xml:space="preserve"> данные по числу визитов на сайты рекламодателей, поступающие из разных источников, </w:t>
      </w:r>
      <w:proofErr w:type="spellStart"/>
      <w:r>
        <w:rPr>
          <w:rFonts w:ascii="Times New Roman" w:eastAsia="Times New Roman" w:hAnsi="Times New Roman"/>
        </w:rPr>
        <w:t>DigitalBudget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переаттрибутирует</w:t>
      </w:r>
      <w:proofErr w:type="spellEnd"/>
      <w:r>
        <w:rPr>
          <w:rFonts w:ascii="Times New Roman" w:eastAsia="Times New Roman" w:hAnsi="Times New Roman"/>
        </w:rPr>
        <w:t xml:space="preserve"> виды трафика в релевантные исследованию сегменты. Например, к контекстной рекламе атрибутируется трафик, который в источнике отмечен как Search / </w:t>
      </w:r>
      <w:proofErr w:type="spellStart"/>
      <w:r>
        <w:rPr>
          <w:rFonts w:ascii="Times New Roman" w:eastAsia="Times New Roman" w:hAnsi="Times New Roman"/>
        </w:rPr>
        <w:t>Paid</w:t>
      </w:r>
      <w:proofErr w:type="spellEnd"/>
      <w:r>
        <w:rPr>
          <w:rFonts w:ascii="Times New Roman" w:eastAsia="Times New Roman" w:hAnsi="Times New Roman"/>
        </w:rPr>
        <w:t xml:space="preserve"> или имеет в названии доменов источников </w:t>
      </w:r>
      <w:proofErr w:type="spellStart"/>
      <w:r>
        <w:rPr>
          <w:rFonts w:ascii="Times New Roman" w:eastAsia="Times New Roman" w:hAnsi="Times New Roman"/>
        </w:rPr>
        <w:t>url</w:t>
      </w:r>
      <w:proofErr w:type="spellEnd"/>
      <w:r>
        <w:rPr>
          <w:rFonts w:ascii="Times New Roman" w:eastAsia="Times New Roman" w:hAnsi="Times New Roman"/>
        </w:rPr>
        <w:t xml:space="preserve"> поисковой системы и не отмечен параметром </w:t>
      </w:r>
      <w:proofErr w:type="spellStart"/>
      <w:r>
        <w:rPr>
          <w:rFonts w:ascii="Times New Roman" w:eastAsia="Times New Roman" w:hAnsi="Times New Roman"/>
        </w:rPr>
        <w:t>search</w:t>
      </w:r>
      <w:proofErr w:type="spellEnd"/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organic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14:paraId="1989FA18" w14:textId="77777777" w:rsidR="000576CF" w:rsidRDefault="00000000">
      <w:pPr>
        <w:ind w:right="107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Подробнее об оценке</w:t>
      </w:r>
    </w:p>
    <w:p w14:paraId="5D4C3426" w14:textId="77777777" w:rsidR="000576CF" w:rsidRDefault="00000000">
      <w:pPr>
        <w:ind w:right="107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Бюджеты оцениваются по трафику на доменные имена. </w:t>
      </w:r>
    </w:p>
    <w:p w14:paraId="4F796FF1" w14:textId="77777777" w:rsidR="000576C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Из </w:t>
      </w:r>
      <w:proofErr w:type="spellStart"/>
      <w:r>
        <w:rPr>
          <w:rFonts w:ascii="Times New Roman" w:eastAsia="Times New Roman" w:hAnsi="Times New Roman"/>
          <w:color w:val="000000"/>
        </w:rPr>
        <w:t>Similarweb</w:t>
      </w:r>
      <w:proofErr w:type="spellEnd"/>
      <w:r>
        <w:rPr>
          <w:rFonts w:ascii="Times New Roman" w:eastAsia="Times New Roman" w:hAnsi="Times New Roman"/>
          <w:color w:val="000000"/>
        </w:rPr>
        <w:t xml:space="preserve"> для каждого домена (бренда) экспортируются данные:</w:t>
      </w:r>
    </w:p>
    <w:p w14:paraId="00C85E1A" w14:textId="77777777" w:rsidR="000576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Домен-источник трафика</w:t>
      </w:r>
    </w:p>
    <w:p w14:paraId="21CEADFD" w14:textId="77777777" w:rsidR="000576CF" w:rsidRPr="0094070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</w:rPr>
        <w:t>Тип</w:t>
      </w:r>
      <w:r w:rsidRPr="00940701">
        <w:rPr>
          <w:rFonts w:ascii="Times New Roman" w:eastAsia="Times New Roman" w:hAnsi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</w:rPr>
        <w:t>источника</w:t>
      </w:r>
      <w:r w:rsidRPr="00940701">
        <w:rPr>
          <w:rFonts w:ascii="Times New Roman" w:eastAsia="Times New Roman" w:hAnsi="Times New Roman"/>
          <w:color w:val="000000"/>
          <w:lang w:val="en-US"/>
        </w:rPr>
        <w:t xml:space="preserve"> (Mobile Referral, Other, Unknown, Email, Channel, Mail, Social, Display Ad, Direct, Search / Organic, Search / Paid, Referral)</w:t>
      </w:r>
    </w:p>
    <w:p w14:paraId="10F592A3" w14:textId="77777777" w:rsidR="000576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Количество визитов на сайт бренда в изучаемый период</w:t>
      </w:r>
    </w:p>
    <w:p w14:paraId="38074062" w14:textId="77777777" w:rsidR="000576C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 рамках исследования проводится </w:t>
      </w:r>
      <w:proofErr w:type="spellStart"/>
      <w:r>
        <w:rPr>
          <w:rFonts w:ascii="Times New Roman" w:eastAsia="Times New Roman" w:hAnsi="Times New Roman"/>
          <w:color w:val="000000"/>
        </w:rPr>
        <w:t>переаттрибуция</w:t>
      </w:r>
      <w:proofErr w:type="spellEnd"/>
      <w:r>
        <w:rPr>
          <w:rFonts w:ascii="Times New Roman" w:eastAsia="Times New Roman" w:hAnsi="Times New Roman"/>
          <w:color w:val="000000"/>
        </w:rPr>
        <w:t xml:space="preserve"> трафика: </w:t>
      </w:r>
    </w:p>
    <w:p w14:paraId="093DC489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К контекстной рекламе атрибутируется трафик, который отмечен </w:t>
      </w:r>
      <w:proofErr w:type="spellStart"/>
      <w:r>
        <w:rPr>
          <w:rFonts w:ascii="Times New Roman" w:eastAsia="Times New Roman" w:hAnsi="Times New Roman"/>
          <w:color w:val="000000"/>
        </w:rPr>
        <w:t>аттрибутами</w:t>
      </w:r>
      <w:proofErr w:type="spellEnd"/>
      <w:r>
        <w:rPr>
          <w:rFonts w:ascii="Times New Roman" w:eastAsia="Times New Roman" w:hAnsi="Times New Roman"/>
          <w:color w:val="000000"/>
        </w:rPr>
        <w:t xml:space="preserve"> Search / </w:t>
      </w:r>
      <w:proofErr w:type="spellStart"/>
      <w:r>
        <w:rPr>
          <w:rFonts w:ascii="Times New Roman" w:eastAsia="Times New Roman" w:hAnsi="Times New Roman"/>
          <w:color w:val="000000"/>
        </w:rPr>
        <w:t>Paid</w:t>
      </w:r>
      <w:proofErr w:type="spellEnd"/>
      <w:r>
        <w:rPr>
          <w:rFonts w:ascii="Times New Roman" w:eastAsia="Times New Roman" w:hAnsi="Times New Roman"/>
          <w:color w:val="000000"/>
        </w:rPr>
        <w:t xml:space="preserve"> или имеет в названии доменов источников </w:t>
      </w:r>
      <w:proofErr w:type="spellStart"/>
      <w:r>
        <w:rPr>
          <w:rFonts w:ascii="Times New Roman" w:eastAsia="Times New Roman" w:hAnsi="Times New Roman"/>
          <w:color w:val="000000"/>
        </w:rPr>
        <w:t>url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поисковой системы и не отмечен параметром </w:t>
      </w:r>
      <w:proofErr w:type="spellStart"/>
      <w:r>
        <w:rPr>
          <w:rFonts w:ascii="Times New Roman" w:eastAsia="Times New Roman" w:hAnsi="Times New Roman"/>
          <w:color w:val="000000"/>
        </w:rPr>
        <w:t>search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organic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21A97E28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К RTB-рекламе атрибутируется трафик, который отмечен </w:t>
      </w:r>
      <w:proofErr w:type="spellStart"/>
      <w:r>
        <w:rPr>
          <w:rFonts w:ascii="Times New Roman" w:eastAsia="Times New Roman" w:hAnsi="Times New Roman"/>
          <w:color w:val="000000"/>
        </w:rPr>
        <w:t>аттрибутами</w:t>
      </w:r>
      <w:proofErr w:type="spellEnd"/>
      <w:r>
        <w:rPr>
          <w:rFonts w:ascii="Times New Roman" w:eastAsia="Times New Roman" w:hAnsi="Times New Roman"/>
          <w:color w:val="000000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</w:rPr>
        <w:t>Other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Unknown</w:t>
      </w:r>
      <w:proofErr w:type="spellEnd"/>
      <w:r>
        <w:rPr>
          <w:rFonts w:ascii="Times New Roman" w:eastAsia="Times New Roman" w:hAnsi="Times New Roman"/>
          <w:color w:val="000000"/>
        </w:rPr>
        <w:t xml:space="preserve">, Channel, </w:t>
      </w:r>
      <w:proofErr w:type="spellStart"/>
      <w:r>
        <w:rPr>
          <w:rFonts w:ascii="Times New Roman" w:eastAsia="Times New Roman" w:hAnsi="Times New Roman"/>
          <w:color w:val="000000"/>
        </w:rPr>
        <w:t>display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referral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color w:val="000000"/>
        </w:rPr>
        <w:t>mobile.refferal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 в случае если сайт-источник по контенту не совпадает с категорией рекламодателя.</w:t>
      </w:r>
    </w:p>
    <w:p w14:paraId="7E599BD2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Также к RTB-рекламе относится трафик с сайтов, объем переходов по каждому из которых не превышает 1% от общего трафика сайта рекламодателя в рамках одного месяца.</w:t>
      </w:r>
    </w:p>
    <w:p w14:paraId="4EBBB894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Из RTB-категории исключается трафик с доменов, принадлежащих крупным рекламным видео-сетям, таким как ГПМД, </w:t>
      </w:r>
      <w:proofErr w:type="spellStart"/>
      <w:r>
        <w:rPr>
          <w:rFonts w:ascii="Times New Roman" w:eastAsia="Times New Roman" w:hAnsi="Times New Roman"/>
          <w:color w:val="000000"/>
        </w:rPr>
        <w:t>Видеосеть</w:t>
      </w:r>
      <w:proofErr w:type="spellEnd"/>
      <w:r>
        <w:rPr>
          <w:rFonts w:ascii="Times New Roman" w:eastAsia="Times New Roman" w:hAnsi="Times New Roman"/>
          <w:color w:val="000000"/>
        </w:rPr>
        <w:t xml:space="preserve"> и СТС</w:t>
      </w:r>
    </w:p>
    <w:p w14:paraId="12A4F82F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Сайты с видео-контентом не попадают в оценку как RTB, поскольку они относятся к категории OLV (</w:t>
      </w:r>
      <w:proofErr w:type="spellStart"/>
      <w:r>
        <w:rPr>
          <w:rFonts w:ascii="Times New Roman" w:eastAsia="Times New Roman" w:hAnsi="Times New Roman"/>
          <w:color w:val="000000"/>
        </w:rPr>
        <w:t>online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video</w:t>
      </w:r>
      <w:proofErr w:type="spellEnd"/>
      <w:r>
        <w:rPr>
          <w:rFonts w:ascii="Times New Roman" w:eastAsia="Times New Roman" w:hAnsi="Times New Roman"/>
          <w:color w:val="000000"/>
        </w:rPr>
        <w:t>).</w:t>
      </w:r>
    </w:p>
    <w:p w14:paraId="5DD1E48F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К </w:t>
      </w:r>
      <w:proofErr w:type="gramStart"/>
      <w:r>
        <w:rPr>
          <w:rFonts w:ascii="Times New Roman" w:eastAsia="Times New Roman" w:hAnsi="Times New Roman"/>
          <w:color w:val="000000"/>
        </w:rPr>
        <w:t>каналу  «</w:t>
      </w:r>
      <w:proofErr w:type="gramEnd"/>
      <w:r>
        <w:rPr>
          <w:rFonts w:ascii="Times New Roman" w:eastAsia="Times New Roman" w:hAnsi="Times New Roman"/>
          <w:color w:val="000000"/>
        </w:rPr>
        <w:t xml:space="preserve">Display Ad» (баннерная реклама) отнесен трафик, который отмечен </w:t>
      </w:r>
      <w:proofErr w:type="spellStart"/>
      <w:r>
        <w:rPr>
          <w:rFonts w:ascii="Times New Roman" w:eastAsia="Times New Roman" w:hAnsi="Times New Roman"/>
          <w:color w:val="000000"/>
        </w:rPr>
        <w:t>аттрибутом</w:t>
      </w:r>
      <w:proofErr w:type="spellEnd"/>
      <w:r>
        <w:rPr>
          <w:rFonts w:ascii="Times New Roman" w:eastAsia="Times New Roman" w:hAnsi="Times New Roman"/>
          <w:color w:val="000000"/>
        </w:rPr>
        <w:t xml:space="preserve"> «Display Ad».</w:t>
      </w:r>
    </w:p>
    <w:p w14:paraId="583A38B6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 каналу «Online Video» отнесен весь трафик с видеохостингов.</w:t>
      </w:r>
    </w:p>
    <w:p w14:paraId="4C9E7422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 каналу «</w:t>
      </w:r>
      <w:proofErr w:type="spellStart"/>
      <w:r>
        <w:rPr>
          <w:rFonts w:ascii="Times New Roman" w:eastAsia="Times New Roman" w:hAnsi="Times New Roman"/>
          <w:color w:val="000000"/>
        </w:rPr>
        <w:t>Paid</w:t>
      </w:r>
      <w:proofErr w:type="spellEnd"/>
      <w:r>
        <w:rPr>
          <w:rFonts w:ascii="Times New Roman" w:eastAsia="Times New Roman" w:hAnsi="Times New Roman"/>
          <w:color w:val="000000"/>
        </w:rPr>
        <w:t xml:space="preserve"> Social» отнесен трафик из социальных сетей.</w:t>
      </w:r>
    </w:p>
    <w:p w14:paraId="75DA2A45" w14:textId="77777777" w:rsidR="000576CF" w:rsidRDefault="00057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b/>
          <w:color w:val="000000"/>
        </w:rPr>
      </w:pPr>
    </w:p>
    <w:p w14:paraId="4D9484D0" w14:textId="77777777" w:rsidR="000576C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ОГРАНИЧЕНИЯ ОЦЕНКИ</w:t>
      </w:r>
    </w:p>
    <w:p w14:paraId="55B80131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В рамках рейтинга не оценивается:</w:t>
      </w:r>
    </w:p>
    <w:p w14:paraId="0F12A8A5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bookmarkStart w:id="0" w:name="bookmark=id.30j0zll" w:colFirst="0" w:colLast="0"/>
      <w:bookmarkStart w:id="1" w:name="_heading=h.gjdgxs" w:colFirst="0" w:colLast="0"/>
      <w:bookmarkEnd w:id="0"/>
      <w:bookmarkEnd w:id="1"/>
      <w:proofErr w:type="spellStart"/>
      <w:r>
        <w:rPr>
          <w:rFonts w:ascii="Times New Roman" w:eastAsia="Times New Roman" w:hAnsi="Times New Roman"/>
          <w:color w:val="000000"/>
        </w:rPr>
        <w:t>InApp</w:t>
      </w:r>
      <w:proofErr w:type="spellEnd"/>
      <w:r>
        <w:rPr>
          <w:rFonts w:ascii="Times New Roman" w:eastAsia="Times New Roman" w:hAnsi="Times New Roman"/>
          <w:color w:val="000000"/>
        </w:rPr>
        <w:t>-реклама</w:t>
      </w:r>
    </w:p>
    <w:p w14:paraId="59DC6E5F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Реклама, ведущая в мобильные </w:t>
      </w:r>
      <w:proofErr w:type="spellStart"/>
      <w:r>
        <w:rPr>
          <w:rFonts w:ascii="Times New Roman" w:eastAsia="Times New Roman" w:hAnsi="Times New Roman"/>
          <w:color w:val="000000"/>
        </w:rPr>
        <w:t>сторы</w:t>
      </w:r>
      <w:proofErr w:type="spellEnd"/>
      <w:r>
        <w:rPr>
          <w:rFonts w:ascii="Times New Roman" w:eastAsia="Times New Roman" w:hAnsi="Times New Roman"/>
          <w:color w:val="000000"/>
        </w:rPr>
        <w:t>, приложения и направленная на продвижение мобильных приложений (CPI)</w:t>
      </w:r>
    </w:p>
    <w:p w14:paraId="788327B2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Лидогенерация (CPA)</w:t>
      </w:r>
    </w:p>
    <w:p w14:paraId="5A96DB29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Реклама внутри социальных сетей (ведущая на внутренние </w:t>
      </w:r>
      <w:proofErr w:type="spellStart"/>
      <w:r>
        <w:rPr>
          <w:rFonts w:ascii="Times New Roman" w:eastAsia="Times New Roman" w:hAnsi="Times New Roman"/>
          <w:color w:val="000000"/>
        </w:rPr>
        <w:t>промостраницы</w:t>
      </w:r>
      <w:proofErr w:type="spellEnd"/>
      <w:r>
        <w:rPr>
          <w:rFonts w:ascii="Times New Roman" w:eastAsia="Times New Roman" w:hAnsi="Times New Roman"/>
          <w:color w:val="000000"/>
        </w:rPr>
        <w:t>).</w:t>
      </w:r>
    </w:p>
    <w:p w14:paraId="6862ABB4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Реклама в </w:t>
      </w:r>
      <w:proofErr w:type="spellStart"/>
      <w:r>
        <w:rPr>
          <w:rFonts w:ascii="Times New Roman" w:eastAsia="Times New Roman" w:hAnsi="Times New Roman"/>
          <w:color w:val="000000"/>
        </w:rPr>
        <w:t>Яндекс.Картах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Яндекс.Навигаторе</w:t>
      </w:r>
      <w:proofErr w:type="spellEnd"/>
      <w:r>
        <w:rPr>
          <w:rFonts w:ascii="Times New Roman" w:eastAsia="Times New Roman" w:hAnsi="Times New Roman"/>
          <w:color w:val="000000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</w:rPr>
        <w:t>т.д.</w:t>
      </w:r>
      <w:proofErr w:type="gramEnd"/>
    </w:p>
    <w:p w14:paraId="2C62033D" w14:textId="77777777" w:rsidR="000576CF" w:rsidRPr="009407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</w:rPr>
        <w:t>Реклама</w:t>
      </w:r>
      <w:r w:rsidRPr="00940701">
        <w:rPr>
          <w:rFonts w:ascii="Times New Roman" w:eastAsia="Times New Roman" w:hAnsi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</w:rPr>
        <w:t>в</w:t>
      </w:r>
      <w:r w:rsidRPr="00940701">
        <w:rPr>
          <w:rFonts w:ascii="Times New Roman" w:eastAsia="Times New Roman" w:hAnsi="Times New Roman"/>
          <w:color w:val="000000"/>
          <w:lang w:val="en-US"/>
        </w:rPr>
        <w:t xml:space="preserve"> Apple search, Huawei search, Bing.</w:t>
      </w:r>
    </w:p>
    <w:p w14:paraId="472315C0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Реклама в WiFi Networks</w:t>
      </w:r>
    </w:p>
    <w:p w14:paraId="28063161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Ретаргетинг</w:t>
      </w:r>
      <w:proofErr w:type="spellEnd"/>
    </w:p>
    <w:p w14:paraId="10A12CC9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Реклама в мессенджерах (в </w:t>
      </w:r>
      <w:proofErr w:type="gramStart"/>
      <w:r>
        <w:rPr>
          <w:rFonts w:ascii="Times New Roman" w:eastAsia="Times New Roman" w:hAnsi="Times New Roman"/>
        </w:rPr>
        <w:t>т.ч.</w:t>
      </w:r>
      <w:proofErr w:type="gramEnd"/>
      <w:r>
        <w:rPr>
          <w:rFonts w:ascii="Times New Roman" w:eastAsia="Times New Roman" w:hAnsi="Times New Roman"/>
        </w:rPr>
        <w:t xml:space="preserve"> в Telegram), Applications (</w:t>
      </w:r>
      <w:proofErr w:type="spellStart"/>
      <w:r>
        <w:rPr>
          <w:rFonts w:ascii="Times New Roman" w:eastAsia="Times New Roman" w:hAnsi="Times New Roman"/>
        </w:rPr>
        <w:t>Shazam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Едадил</w:t>
      </w:r>
      <w:proofErr w:type="spellEnd"/>
      <w:r>
        <w:rPr>
          <w:rFonts w:ascii="Times New Roman" w:eastAsia="Times New Roman" w:hAnsi="Times New Roman"/>
        </w:rPr>
        <w:t>, Кошелек и т.д.)</w:t>
      </w:r>
    </w:p>
    <w:p w14:paraId="123FC6A2" w14:textId="77777777" w:rsidR="000576CF" w:rsidRPr="009407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  <w:lang w:val="en-US"/>
        </w:rPr>
      </w:pPr>
      <w:r w:rsidRPr="00940701">
        <w:rPr>
          <w:rFonts w:ascii="Times New Roman" w:eastAsia="Times New Roman" w:hAnsi="Times New Roman"/>
          <w:color w:val="000000"/>
          <w:lang w:val="en-US"/>
        </w:rPr>
        <w:t>E-mail, CRM, direct marketing.</w:t>
      </w:r>
    </w:p>
    <w:p w14:paraId="33B3DD64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Спецпроекты, PR, </w:t>
      </w:r>
      <w:proofErr w:type="spellStart"/>
      <w:r>
        <w:rPr>
          <w:rFonts w:ascii="Times New Roman" w:eastAsia="Times New Roman" w:hAnsi="Times New Roman"/>
          <w:color w:val="000000"/>
        </w:rPr>
        <w:t>Influence</w:t>
      </w:r>
      <w:proofErr w:type="spellEnd"/>
    </w:p>
    <w:p w14:paraId="16410312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Б</w:t>
      </w:r>
      <w:r>
        <w:rPr>
          <w:rFonts w:ascii="Times New Roman" w:eastAsia="Times New Roman" w:hAnsi="Times New Roman"/>
          <w:color w:val="000000"/>
        </w:rPr>
        <w:t xml:space="preserve">юджеты на </w:t>
      </w:r>
      <w:proofErr w:type="spellStart"/>
      <w:r>
        <w:rPr>
          <w:rFonts w:ascii="Times New Roman" w:eastAsia="Times New Roman" w:hAnsi="Times New Roman"/>
          <w:color w:val="000000"/>
        </w:rPr>
        <w:t>Programmatic</w:t>
      </w:r>
      <w:proofErr w:type="spellEnd"/>
      <w:r>
        <w:rPr>
          <w:rFonts w:ascii="Times New Roman" w:eastAsia="Times New Roman" w:hAnsi="Times New Roman"/>
          <w:color w:val="000000"/>
        </w:rPr>
        <w:t xml:space="preserve"> OOH</w:t>
      </w:r>
    </w:p>
    <w:p w14:paraId="571F96CA" w14:textId="77777777" w:rsidR="000576C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Бюджеты на продвижение категорий, в которых невозможно методологическое отделение платного трафика от органического - Услуги в области интернета (Yandex.ru, Youtube, Mos.ru и т.д.), Средства массовой информации, агрегаторы вакансий и скидок и </w:t>
      </w:r>
      <w:proofErr w:type="gramStart"/>
      <w:r>
        <w:rPr>
          <w:rFonts w:ascii="Times New Roman" w:eastAsia="Times New Roman" w:hAnsi="Times New Roman"/>
          <w:color w:val="000000"/>
        </w:rPr>
        <w:t>т.д. ;</w:t>
      </w:r>
      <w:proofErr w:type="gramEnd"/>
    </w:p>
    <w:p w14:paraId="71E8A7A2" w14:textId="77777777" w:rsidR="000576C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Категория "Средства массовой информации" из рейтинга исключена, поскольку оценить, сколько СМИ тратят на рекламу (отделив бартер от коммерции), методологически невозможно.</w:t>
      </w:r>
    </w:p>
    <w:p w14:paraId="0573F368" w14:textId="77777777" w:rsidR="000576C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/>
        <w:jc w:val="both"/>
        <w:rPr>
          <w:rFonts w:ascii="Times New Roman" w:eastAsia="Times New Roman" w:hAnsi="Times New Roman"/>
          <w:color w:val="000000"/>
        </w:rPr>
      </w:pPr>
      <w:bookmarkStart w:id="2" w:name="bookmark=id.3znysh7" w:colFirst="0" w:colLast="0"/>
      <w:bookmarkStart w:id="3" w:name="_heading=h.1fob9te" w:colFirst="0" w:colLast="0"/>
      <w:bookmarkEnd w:id="2"/>
      <w:bookmarkEnd w:id="3"/>
      <w:r>
        <w:rPr>
          <w:rFonts w:ascii="Times New Roman" w:eastAsia="Times New Roman" w:hAnsi="Times New Roman"/>
          <w:color w:val="000000"/>
        </w:rPr>
        <w:t>Категория «Услуги в области интернета» из рейтинга исключена, поскольку входящий трафик на крупнейшие интернет-порталы не является коммерческим. Исключение – экосистемные продукты.</w:t>
      </w:r>
    </w:p>
    <w:p w14:paraId="4C4D9281" w14:textId="77777777" w:rsidR="000576C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Часть доменов </w:t>
      </w:r>
      <w:r>
        <w:rPr>
          <w:rFonts w:ascii="Times New Roman" w:eastAsia="Times New Roman" w:hAnsi="Times New Roman"/>
          <w:color w:val="000000"/>
        </w:rPr>
        <w:t>«Услуги в системе образования и трудоустройства» из рейтинга исключена, поскольку структура трафика связана с органическим приходом пользователей через сторонние сервисы, а также с размещением внутренней рекламы от малого бизнеса на платформе. Такой трафик невозможно отделить от рекламного трафика платформ.</w:t>
      </w:r>
    </w:p>
    <w:p w14:paraId="56FA41C4" w14:textId="77777777" w:rsidR="000576C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/>
        <w:jc w:val="both"/>
        <w:rPr>
          <w:rFonts w:ascii="Times New Roman" w:eastAsia="Times New Roman" w:hAnsi="Times New Roman"/>
          <w:color w:val="000000"/>
        </w:rPr>
      </w:pPr>
      <w:bookmarkStart w:id="4" w:name="bookmark=id.2s8eyo1" w:colFirst="0" w:colLast="0"/>
      <w:bookmarkStart w:id="5" w:name="bookmark=id.3dy6vkm" w:colFirst="0" w:colLast="0"/>
      <w:bookmarkStart w:id="6" w:name="bookmark=id.26in1rg" w:colFirst="0" w:colLast="0"/>
      <w:bookmarkStart w:id="7" w:name="bookmark=id.17dp8vu" w:colFirst="0" w:colLast="0"/>
      <w:bookmarkStart w:id="8" w:name="bookmark=id.3rdcrjn" w:colFirst="0" w:colLast="0"/>
      <w:bookmarkStart w:id="9" w:name="bookmark=id.1ksv4uv" w:colFirst="0" w:colLast="0"/>
      <w:bookmarkStart w:id="10" w:name="bookmark=id.35nkun2" w:colFirst="0" w:colLast="0"/>
      <w:bookmarkStart w:id="11" w:name="bookmark=id.lnxbz9" w:colFirst="0" w:colLast="0"/>
      <w:bookmarkStart w:id="12" w:name="bookmark=id.4d34og8" w:colFirst="0" w:colLast="0"/>
      <w:bookmarkStart w:id="13" w:name="bookmark=id.1t3h5sf" w:colFirst="0" w:colLast="0"/>
      <w:bookmarkStart w:id="14" w:name="_heading=h.tyjcwt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Times New Roman" w:eastAsia="Times New Roman" w:hAnsi="Times New Roman"/>
          <w:color w:val="000000"/>
        </w:rPr>
        <w:t xml:space="preserve">Категория «Услуги в области торговли» входит в оценку только в отношении торговых площадок. Бюджеты вендоров не оцениваются. </w:t>
      </w:r>
    </w:p>
    <w:p w14:paraId="59B9F36A" w14:textId="77777777" w:rsidR="000576CF" w:rsidRDefault="000576CF">
      <w:pPr>
        <w:spacing w:after="0" w:line="240" w:lineRule="auto"/>
        <w:ind w:left="916"/>
        <w:jc w:val="both"/>
        <w:rPr>
          <w:rFonts w:ascii="Times New Roman" w:eastAsia="Times New Roman" w:hAnsi="Times New Roman"/>
        </w:rPr>
      </w:pPr>
    </w:p>
    <w:p w14:paraId="4DBC02F9" w14:textId="77777777" w:rsidR="000576C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К разным категориям брендов применяются дифференцированные ограничения:</w:t>
      </w:r>
    </w:p>
    <w:p w14:paraId="40CADFA7" w14:textId="77777777" w:rsidR="000576C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Трафик с топовых доменов (Yandex, Rambler.ru и другие), с типом </w:t>
      </w:r>
      <w:proofErr w:type="spellStart"/>
      <w:r>
        <w:rPr>
          <w:rFonts w:ascii="Times New Roman" w:eastAsia="Times New Roman" w:hAnsi="Times New Roman"/>
          <w:color w:val="000000"/>
        </w:rPr>
        <w:t>Referral</w:t>
      </w:r>
      <w:proofErr w:type="spellEnd"/>
      <w:r>
        <w:rPr>
          <w:rFonts w:ascii="Times New Roman" w:eastAsia="Times New Roman" w:hAnsi="Times New Roman"/>
          <w:color w:val="000000"/>
        </w:rPr>
        <w:t xml:space="preserve"> всегда относится к RTB.</w:t>
      </w:r>
    </w:p>
    <w:p w14:paraId="41F2D14D" w14:textId="77777777" w:rsidR="000576C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Оценка бюджетов размещения для каждого из брендов происходит на основе следующих данных:</w:t>
      </w:r>
    </w:p>
    <w:p w14:paraId="1B544354" w14:textId="77777777" w:rsidR="000576CF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Среднегодовые ставки для Google и Yandex, а также процент </w:t>
      </w:r>
      <w:proofErr w:type="spellStart"/>
      <w:r>
        <w:rPr>
          <w:rFonts w:ascii="Times New Roman" w:eastAsia="Times New Roman" w:hAnsi="Times New Roman"/>
          <w:color w:val="000000"/>
        </w:rPr>
        <w:t>доходимости</w:t>
      </w:r>
      <w:proofErr w:type="spellEnd"/>
      <w:r>
        <w:rPr>
          <w:rFonts w:ascii="Times New Roman" w:eastAsia="Times New Roman" w:hAnsi="Times New Roman"/>
          <w:color w:val="000000"/>
        </w:rPr>
        <w:t>, определяемые экспертным путем.</w:t>
      </w:r>
    </w:p>
    <w:p w14:paraId="0AA7A484" w14:textId="77777777" w:rsidR="000576CF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Стоимость визита для </w:t>
      </w:r>
      <w:proofErr w:type="spellStart"/>
      <w:r>
        <w:rPr>
          <w:rFonts w:ascii="Times New Roman" w:eastAsia="Times New Roman" w:hAnsi="Times New Roman"/>
          <w:color w:val="000000"/>
        </w:rPr>
        <w:t>programmatic</w:t>
      </w:r>
      <w:proofErr w:type="spellEnd"/>
      <w:r>
        <w:rPr>
          <w:rFonts w:ascii="Times New Roman" w:eastAsia="Times New Roman" w:hAnsi="Times New Roman"/>
          <w:color w:val="000000"/>
        </w:rPr>
        <w:t xml:space="preserve"> рекламы по всем товарным категориям предоставляется экспертами Digital Budget.</w:t>
      </w:r>
    </w:p>
    <w:p w14:paraId="5C5F1BDE" w14:textId="77777777" w:rsidR="000576C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Финальная формула оборота рекламодателя имеет вид: </w:t>
      </w:r>
    </w:p>
    <w:p w14:paraId="47BCEB2A" w14:textId="77777777" w:rsidR="000576CF" w:rsidRDefault="00057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</w:p>
    <w:p w14:paraId="35968A18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Сумма оборотов по всем доменам рекламодателя, где:</w:t>
      </w:r>
    </w:p>
    <w:p w14:paraId="6B3C7A68" w14:textId="77777777" w:rsidR="000576CF" w:rsidRDefault="00057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</w:p>
    <w:p w14:paraId="0A30D0C2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Оборот по каждому домену для контекстной рекламы</w:t>
      </w:r>
    </w:p>
    <w:p w14:paraId="0DC56863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=</w:t>
      </w:r>
    </w:p>
    <w:p w14:paraId="6942637F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&lt; Количество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заходов на домен из платного поиска Yandex &gt;</w:t>
      </w:r>
    </w:p>
    <w:p w14:paraId="32EFEE8E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/</w:t>
      </w:r>
    </w:p>
    <w:p w14:paraId="399F9B3F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&lt; Конверсия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из кликов в заходы от Yandex &gt;</w:t>
      </w:r>
    </w:p>
    <w:p w14:paraId="3B139BAD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*</w:t>
      </w:r>
    </w:p>
    <w:p w14:paraId="7A4802E0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&lt;Ставка по категории домена от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Yandex &gt;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46DC45E3" w14:textId="77777777" w:rsidR="000576CF" w:rsidRDefault="000576CF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0B71F2FB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</w:rPr>
        <w:t>Оборот по каждому домену для RTB-рекламы</w:t>
      </w:r>
    </w:p>
    <w:p w14:paraId="2D832EAC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=</w:t>
      </w:r>
    </w:p>
    <w:p w14:paraId="1CA24BC3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&lt; Количество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заходов на домен в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desktop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+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, отнесенные к категории RTB &gt;</w:t>
      </w:r>
    </w:p>
    <w:p w14:paraId="19413210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*</w:t>
      </w:r>
    </w:p>
    <w:p w14:paraId="752A4875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&lt;Стоимость визита в зависимости от категории домена и канала трафика (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desktop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или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mobile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) &gt;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722A96A1" w14:textId="77777777" w:rsidR="000576CF" w:rsidRDefault="000576CF">
      <w:pPr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66E18E81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Оборот по каждому домену для </w:t>
      </w:r>
      <w:proofErr w:type="spellStart"/>
      <w:r>
        <w:rPr>
          <w:rFonts w:ascii="Times New Roman" w:eastAsia="Times New Roman" w:hAnsi="Times New Roman"/>
          <w:b/>
          <w:color w:val="000000"/>
        </w:rPr>
        <w:t>Paid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Social</w:t>
      </w:r>
    </w:p>
    <w:p w14:paraId="7624D9FB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=</w:t>
      </w:r>
    </w:p>
    <w:p w14:paraId="7ECB5A55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&lt; Количество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заходов на домен в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desktop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+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mobile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отнесенные к категории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Paid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Social &gt;</w:t>
      </w:r>
    </w:p>
    <w:p w14:paraId="5A555B4D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*</w:t>
      </w:r>
    </w:p>
    <w:p w14:paraId="179C6C85" w14:textId="77777777" w:rsidR="000576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&lt;Стоимость визита в зависимости от категории домена и канала трафика (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desktop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или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mobile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) &gt;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7312C1AB" w14:textId="1EB0C3C0" w:rsidR="00A11059" w:rsidRPr="00A11059" w:rsidRDefault="00A11059" w:rsidP="002731ED">
      <w:pPr>
        <w:jc w:val="center"/>
        <w:rPr>
          <w:rFonts w:ascii="Times New Roman" w:eastAsia="Times New Roman" w:hAnsi="Times New Roman"/>
          <w:b/>
        </w:rPr>
      </w:pPr>
      <w:r w:rsidRPr="00A11059">
        <w:rPr>
          <w:rFonts w:ascii="Times New Roman" w:eastAsia="Times New Roman" w:hAnsi="Times New Roman"/>
          <w:b/>
        </w:rPr>
        <w:t xml:space="preserve">Изменение методологии Digital Budget 2023 </w:t>
      </w:r>
      <w:proofErr w:type="spellStart"/>
      <w:r w:rsidRPr="00A11059">
        <w:rPr>
          <w:rFonts w:ascii="Times New Roman" w:eastAsia="Times New Roman" w:hAnsi="Times New Roman"/>
          <w:b/>
        </w:rPr>
        <w:t>vs</w:t>
      </w:r>
      <w:proofErr w:type="spellEnd"/>
      <w:r w:rsidRPr="00A11059">
        <w:rPr>
          <w:rFonts w:ascii="Times New Roman" w:eastAsia="Times New Roman" w:hAnsi="Times New Roman"/>
          <w:b/>
        </w:rPr>
        <w:t xml:space="preserve"> 2022</w:t>
      </w:r>
    </w:p>
    <w:p w14:paraId="625A8A74" w14:textId="77777777" w:rsidR="00A11059" w:rsidRPr="00A11059" w:rsidRDefault="00A11059" w:rsidP="00A11059">
      <w:pPr>
        <w:rPr>
          <w:rFonts w:ascii="Times New Roman" w:eastAsia="Times New Roman" w:hAnsi="Times New Roman"/>
          <w:bCs/>
        </w:rPr>
      </w:pPr>
      <w:r w:rsidRPr="00A11059">
        <w:rPr>
          <w:rFonts w:ascii="Times New Roman" w:eastAsia="Times New Roman" w:hAnsi="Times New Roman"/>
          <w:bCs/>
        </w:rPr>
        <w:lastRenderedPageBreak/>
        <w:t>1. Различие в составе анализируемых сайтов: в 2023 году в анализ включено большее количество сайтов внутри рекламодателей по сравнению с предыдущим годом.</w:t>
      </w:r>
    </w:p>
    <w:p w14:paraId="467E6C97" w14:textId="77777777" w:rsidR="00A11059" w:rsidRPr="00A11059" w:rsidRDefault="00A11059" w:rsidP="00A11059">
      <w:pPr>
        <w:rPr>
          <w:rFonts w:ascii="Times New Roman" w:eastAsia="Times New Roman" w:hAnsi="Times New Roman"/>
          <w:bCs/>
        </w:rPr>
      </w:pPr>
      <w:r w:rsidRPr="00A11059">
        <w:rPr>
          <w:rFonts w:ascii="Times New Roman" w:eastAsia="Times New Roman" w:hAnsi="Times New Roman"/>
          <w:bCs/>
        </w:rPr>
        <w:t xml:space="preserve">2. Обновленный подход к оценке мобильного трафика: в 2023 году была внедрена усовершенствованная методология оценки, которая включает измененную систему атрибуции мобильных визитов по </w:t>
      </w:r>
      <w:proofErr w:type="gramStart"/>
      <w:r w:rsidRPr="00A11059">
        <w:rPr>
          <w:rFonts w:ascii="Times New Roman" w:eastAsia="Times New Roman" w:hAnsi="Times New Roman"/>
          <w:bCs/>
        </w:rPr>
        <w:t>источникам .</w:t>
      </w:r>
      <w:proofErr w:type="gramEnd"/>
    </w:p>
    <w:p w14:paraId="66FBF218" w14:textId="7B18BEA2" w:rsidR="000576CF" w:rsidRPr="00A11059" w:rsidRDefault="00A11059" w:rsidP="00A11059">
      <w:pPr>
        <w:rPr>
          <w:rFonts w:ascii="Times New Roman" w:eastAsia="Times New Roman" w:hAnsi="Times New Roman"/>
          <w:bCs/>
        </w:rPr>
      </w:pPr>
      <w:r w:rsidRPr="00A11059">
        <w:rPr>
          <w:rFonts w:ascii="Times New Roman" w:eastAsia="Times New Roman" w:hAnsi="Times New Roman"/>
          <w:bCs/>
        </w:rPr>
        <w:t xml:space="preserve">3.  Корректировка входящего трафика: для нивелирования снижения эффективности мониторинга поставщиком данных трафика в контекстной рекламе и </w:t>
      </w:r>
      <w:proofErr w:type="spellStart"/>
      <w:r w:rsidRPr="00A11059">
        <w:rPr>
          <w:rFonts w:ascii="Times New Roman" w:eastAsia="Times New Roman" w:hAnsi="Times New Roman"/>
          <w:bCs/>
        </w:rPr>
        <w:t>программатике</w:t>
      </w:r>
      <w:proofErr w:type="spellEnd"/>
      <w:r w:rsidRPr="00A11059">
        <w:rPr>
          <w:rFonts w:ascii="Times New Roman" w:eastAsia="Times New Roman" w:hAnsi="Times New Roman"/>
          <w:bCs/>
        </w:rPr>
        <w:t xml:space="preserve"> были разработаны и внедрены специальные коэффициенты, позволяющие корректировать получаемые данные о визитах на целевые сайты в этих каналах.</w:t>
      </w:r>
    </w:p>
    <w:p w14:paraId="6A83835E" w14:textId="77777777" w:rsidR="000576CF" w:rsidRDefault="0000000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ОГРАНИЧЕНИЯ ОЦЕНКИ</w:t>
      </w:r>
    </w:p>
    <w:p w14:paraId="5253A8A1" w14:textId="77777777" w:rsidR="000576CF" w:rsidRDefault="000000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оценку не входят медиаканалы, где на сегодняшний день отсутствует независимый мониторинг или не выработан методологический подход: </w:t>
      </w:r>
      <w:proofErr w:type="spellStart"/>
      <w:r>
        <w:rPr>
          <w:rFonts w:ascii="Times New Roman" w:eastAsia="Times New Roman" w:hAnsi="Times New Roman"/>
        </w:rPr>
        <w:t>Indoor</w:t>
      </w:r>
      <w:proofErr w:type="spellEnd"/>
      <w:r>
        <w:rPr>
          <w:rFonts w:ascii="Times New Roman" w:eastAsia="Times New Roman" w:hAnsi="Times New Roman"/>
        </w:rPr>
        <w:t xml:space="preserve">-реклама, в т.ч. </w:t>
      </w:r>
      <w:proofErr w:type="gramStart"/>
      <w:r>
        <w:rPr>
          <w:rFonts w:ascii="Times New Roman" w:eastAsia="Times New Roman" w:hAnsi="Times New Roman"/>
        </w:rPr>
        <w:t>в  кинотеатрах</w:t>
      </w:r>
      <w:proofErr w:type="gramEnd"/>
      <w:r>
        <w:rPr>
          <w:rFonts w:ascii="Times New Roman" w:eastAsia="Times New Roman" w:hAnsi="Times New Roman"/>
        </w:rPr>
        <w:t xml:space="preserve"> и аэропортах, в транзитная реклама, PR (в т.ч. SMM), нативные и специальные проекты.</w:t>
      </w:r>
    </w:p>
    <w:p w14:paraId="6E790F83" w14:textId="77777777" w:rsidR="000576CF" w:rsidRDefault="000576CF">
      <w:pPr>
        <w:rPr>
          <w:rFonts w:ascii="Times New Roman" w:eastAsia="Times New Roman" w:hAnsi="Times New Roman"/>
        </w:rPr>
      </w:pPr>
    </w:p>
    <w:p w14:paraId="35550B6D" w14:textId="77777777" w:rsidR="000576CF" w:rsidRDefault="00000000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РЕЙТИНГ АГЕНТСТВ</w:t>
      </w:r>
    </w:p>
    <w:p w14:paraId="1AA431BC" w14:textId="77777777" w:rsidR="000576CF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</w:rPr>
        <w:t>Определения, принятые в рамках рейтинга</w:t>
      </w:r>
    </w:p>
    <w:p w14:paraId="2814CAAC" w14:textId="77777777" w:rsidR="000576CF" w:rsidRDefault="00000000">
      <w:pPr>
        <w:spacing w:after="0"/>
        <w:ind w:left="141" w:hanging="13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>
        <w:rPr>
          <w:rFonts w:ascii="Times New Roman" w:eastAsia="Times New Roman" w:hAnsi="Times New Roman"/>
          <w:b/>
        </w:rPr>
        <w:t>Медиа</w:t>
      </w:r>
      <w:r>
        <w:rPr>
          <w:rFonts w:ascii="Times New Roman" w:eastAsia="Times New Roman" w:hAnsi="Times New Roman"/>
        </w:rPr>
        <w:t>. Средство распространения рекламы: ТВ, радио, пресса, интернет, конструкции наружной рекламы.</w:t>
      </w:r>
    </w:p>
    <w:p w14:paraId="40AFE600" w14:textId="77777777" w:rsidR="000576CF" w:rsidRDefault="00000000">
      <w:pPr>
        <w:spacing w:after="0"/>
        <w:ind w:left="2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>
        <w:rPr>
          <w:rFonts w:ascii="Times New Roman" w:eastAsia="Times New Roman" w:hAnsi="Times New Roman"/>
          <w:b/>
        </w:rPr>
        <w:t>Интерес рекламодателя в медиа</w:t>
      </w:r>
      <w:r>
        <w:rPr>
          <w:rFonts w:ascii="Times New Roman" w:eastAsia="Times New Roman" w:hAnsi="Times New Roman"/>
        </w:rPr>
        <w:t>. Размещение рекламы в одном из средств ее распространения на территории России.</w:t>
      </w:r>
    </w:p>
    <w:p w14:paraId="37176CB6" w14:textId="77777777" w:rsidR="000576CF" w:rsidRDefault="00000000">
      <w:pPr>
        <w:spacing w:after="0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>
        <w:rPr>
          <w:rFonts w:ascii="Times New Roman" w:eastAsia="Times New Roman" w:hAnsi="Times New Roman"/>
          <w:b/>
        </w:rPr>
        <w:t>Прямой контракт</w:t>
      </w:r>
      <w:r>
        <w:rPr>
          <w:rFonts w:ascii="Times New Roman" w:eastAsia="Times New Roman" w:hAnsi="Times New Roman"/>
        </w:rPr>
        <w:t xml:space="preserve">. Контракт с рекламодателем на размещение рекламы в медиа на территории России. Для </w:t>
      </w:r>
      <w:proofErr w:type="spellStart"/>
      <w:r>
        <w:rPr>
          <w:rFonts w:ascii="Times New Roman" w:eastAsia="Times New Roman" w:hAnsi="Times New Roman"/>
        </w:rPr>
        <w:t>инхаусных</w:t>
      </w:r>
      <w:proofErr w:type="spellEnd"/>
      <w:r>
        <w:rPr>
          <w:rFonts w:ascii="Times New Roman" w:eastAsia="Times New Roman" w:hAnsi="Times New Roman"/>
        </w:rPr>
        <w:t xml:space="preserve"> агентств* действует ограничение: контракт на обслуживание материнской компании должен быть получен в результате тендера/конкурса (требуется подтверждение в виде открытой конкурсной документации или публикаций в СМИ). Если нет информации, что </w:t>
      </w:r>
      <w:proofErr w:type="spellStart"/>
      <w:r>
        <w:rPr>
          <w:rFonts w:ascii="Times New Roman" w:eastAsia="Times New Roman" w:hAnsi="Times New Roman"/>
        </w:rPr>
        <w:t>инхаусное</w:t>
      </w:r>
      <w:proofErr w:type="spellEnd"/>
      <w:r>
        <w:rPr>
          <w:rFonts w:ascii="Times New Roman" w:eastAsia="Times New Roman" w:hAnsi="Times New Roman"/>
        </w:rPr>
        <w:t xml:space="preserve"> агентство получило контракт на тендерной основе, то контракт следующего агентства считается прямым (если был получен в ходе тендера или анонсирован в СМИ).</w:t>
      </w:r>
    </w:p>
    <w:p w14:paraId="18B24C60" w14:textId="77777777" w:rsidR="000576CF" w:rsidRDefault="00000000">
      <w:pPr>
        <w:spacing w:after="0"/>
        <w:ind w:left="566" w:hanging="285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/>
          <w:i/>
          <w:sz w:val="20"/>
          <w:szCs w:val="20"/>
        </w:rPr>
        <w:t>Компания, которая получает бюджет на закупки для всех или части сателлитов материнской структуры, а затем направляет бюджеты в медиа или поручает другим агентствам, часто через тендеры.</w:t>
      </w:r>
    </w:p>
    <w:p w14:paraId="0B28B294" w14:textId="77777777" w:rsidR="000576CF" w:rsidRDefault="00000000">
      <w:pPr>
        <w:spacing w:after="0"/>
        <w:ind w:left="2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>
        <w:rPr>
          <w:rFonts w:ascii="Times New Roman" w:eastAsia="Times New Roman" w:hAnsi="Times New Roman"/>
          <w:b/>
        </w:rPr>
        <w:t>Медиасервис</w:t>
      </w:r>
      <w:r>
        <w:rPr>
          <w:rFonts w:ascii="Times New Roman" w:eastAsia="Times New Roman" w:hAnsi="Times New Roman"/>
        </w:rPr>
        <w:t>. Обслуживание интересов рекламодателя в медиа на территории России по прямому контракту.</w:t>
      </w:r>
    </w:p>
    <w:p w14:paraId="335797FB" w14:textId="77777777" w:rsidR="000576CF" w:rsidRDefault="0000000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</w:t>
      </w:r>
      <w:r>
        <w:rPr>
          <w:rFonts w:ascii="Times New Roman" w:eastAsia="Times New Roman" w:hAnsi="Times New Roman"/>
          <w:b/>
        </w:rPr>
        <w:t>Агентский бренд</w:t>
      </w:r>
      <w:r>
        <w:rPr>
          <w:rFonts w:ascii="Times New Roman" w:eastAsia="Times New Roman" w:hAnsi="Times New Roman"/>
        </w:rPr>
        <w:t xml:space="preserve">. Название, позволяющее однозначно идентифицировать агентство. </w:t>
      </w:r>
    </w:p>
    <w:p w14:paraId="426E4536" w14:textId="77777777" w:rsidR="000576CF" w:rsidRDefault="00000000">
      <w:pPr>
        <w:spacing w:after="0"/>
        <w:ind w:left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Необходимые признаки бренда</w:t>
      </w:r>
    </w:p>
    <w:p w14:paraId="1B61F7F8" w14:textId="77777777" w:rsidR="000576CF" w:rsidRDefault="00000000">
      <w:pPr>
        <w:spacing w:after="0"/>
        <w:ind w:left="6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1) Наличие уникального названия, логотипа**; </w:t>
      </w:r>
    </w:p>
    <w:p w14:paraId="1872A649" w14:textId="77777777" w:rsidR="000576CF" w:rsidRDefault="00000000">
      <w:pPr>
        <w:spacing w:after="0"/>
        <w:ind w:left="6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2) В течение изучаемого периода осуществляет услуги (подтверждается публикациями в СМИ) или участвует в тендерах по медиасервису от своего имени (подтверждается в открытых источниках или </w:t>
      </w:r>
      <w:proofErr w:type="gramStart"/>
      <w:r>
        <w:rPr>
          <w:rFonts w:ascii="Times New Roman" w:eastAsia="Times New Roman" w:hAnsi="Times New Roman"/>
        </w:rPr>
        <w:t>СМИ)*</w:t>
      </w:r>
      <w:proofErr w:type="gramEnd"/>
      <w:r>
        <w:rPr>
          <w:rFonts w:ascii="Times New Roman" w:eastAsia="Times New Roman" w:hAnsi="Times New Roman"/>
        </w:rPr>
        <w:t xml:space="preserve">*; </w:t>
      </w:r>
    </w:p>
    <w:p w14:paraId="0161F30C" w14:textId="77777777" w:rsidR="000576CF" w:rsidRDefault="00000000">
      <w:pPr>
        <w:spacing w:after="0"/>
        <w:ind w:left="6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3) В течение изучаемого периода фигурирует в информационном пространстве, а именно: </w:t>
      </w:r>
    </w:p>
    <w:p w14:paraId="25B5D380" w14:textId="77777777" w:rsidR="000576CF" w:rsidRDefault="00000000">
      <w:pPr>
        <w:spacing w:after="0"/>
        <w:ind w:left="6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Представлено в интернете в виде сайта и группы/сообщества в соцсетях**</w:t>
      </w:r>
    </w:p>
    <w:p w14:paraId="4B7F9B8F" w14:textId="77777777" w:rsidR="000576CF" w:rsidRDefault="00000000">
      <w:pPr>
        <w:spacing w:after="0"/>
        <w:ind w:left="708" w:hanging="8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Публикуется или упоминается в СМИ в изучаемом контексте***</w:t>
      </w:r>
    </w:p>
    <w:p w14:paraId="797F9BEB" w14:textId="77777777" w:rsidR="000576CF" w:rsidRDefault="00000000">
      <w:pPr>
        <w:spacing w:after="0"/>
        <w:ind w:left="6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Участвует в индустриальных мероприятиях***</w:t>
      </w:r>
    </w:p>
    <w:p w14:paraId="2F8D7C29" w14:textId="77777777" w:rsidR="000576CF" w:rsidRDefault="000576CF">
      <w:pPr>
        <w:spacing w:after="0"/>
        <w:rPr>
          <w:rFonts w:ascii="Times New Roman" w:eastAsia="Times New Roman" w:hAnsi="Times New Roman"/>
        </w:rPr>
      </w:pPr>
    </w:p>
    <w:p w14:paraId="61E0F90C" w14:textId="77777777" w:rsidR="000576CF" w:rsidRDefault="00000000">
      <w:pPr>
        <w:spacing w:after="0"/>
        <w:ind w:left="7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** Обязательно </w:t>
      </w:r>
    </w:p>
    <w:p w14:paraId="0EBF3E7E" w14:textId="77777777" w:rsidR="000576CF" w:rsidRDefault="00000000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*** Косвенный признак, обязательным не является.</w:t>
      </w:r>
    </w:p>
    <w:p w14:paraId="59CD2849" w14:textId="77777777" w:rsidR="000576CF" w:rsidRDefault="000576CF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i/>
        </w:rPr>
      </w:pPr>
    </w:p>
    <w:p w14:paraId="2E8F616C" w14:textId="77777777" w:rsidR="000576CF" w:rsidRDefault="00000000">
      <w:pPr>
        <w:spacing w:after="0"/>
        <w:ind w:left="260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6. </w:t>
      </w:r>
      <w:r>
        <w:rPr>
          <w:rFonts w:ascii="Times New Roman" w:eastAsia="Times New Roman" w:hAnsi="Times New Roman"/>
          <w:b/>
        </w:rPr>
        <w:t>Агентство</w:t>
      </w:r>
      <w:r>
        <w:rPr>
          <w:rFonts w:ascii="Times New Roman" w:eastAsia="Times New Roman" w:hAnsi="Times New Roman"/>
        </w:rPr>
        <w:t>. Компания, имеющая собственный бренд, занимающаяся обслуживанием интересов более чем одного рекламодателя, имеющая как минимум одно юридическое лицо и собственный штат сотрудников, занимающихся планированием и закупками рекламы в СМИ.</w:t>
      </w:r>
    </w:p>
    <w:p w14:paraId="4D992B19" w14:textId="77777777" w:rsidR="000576CF" w:rsidRDefault="00000000">
      <w:pPr>
        <w:spacing w:after="0"/>
        <w:ind w:left="2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 </w:t>
      </w:r>
      <w:r>
        <w:rPr>
          <w:rFonts w:ascii="Times New Roman" w:eastAsia="Times New Roman" w:hAnsi="Times New Roman"/>
          <w:b/>
        </w:rPr>
        <w:t>Участник рейтинга</w:t>
      </w:r>
      <w:r>
        <w:rPr>
          <w:rFonts w:ascii="Times New Roman" w:eastAsia="Times New Roman" w:hAnsi="Times New Roman"/>
        </w:rPr>
        <w:t xml:space="preserve">. Любое агентство с преобладающей долей прямых клиентов (количественно более 50%), обслуживающее интересы рекламодателей в медиа на территории России суммарно более чем на 50 млн рублей (без НДС) по </w:t>
      </w:r>
      <w:proofErr w:type="spellStart"/>
      <w:r>
        <w:rPr>
          <w:rFonts w:ascii="Times New Roman" w:eastAsia="Times New Roman" w:hAnsi="Times New Roman"/>
        </w:rPr>
        <w:t>эстимации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AdIndex</w:t>
      </w:r>
      <w:proofErr w:type="spellEnd"/>
      <w:r>
        <w:rPr>
          <w:rFonts w:ascii="Times New Roman" w:eastAsia="Times New Roman" w:hAnsi="Times New Roman"/>
        </w:rPr>
        <w:t xml:space="preserve">, в интернете – суммарно более чем на 10 млн рублей (без НДС) по </w:t>
      </w:r>
      <w:proofErr w:type="spellStart"/>
      <w:r>
        <w:rPr>
          <w:rFonts w:ascii="Times New Roman" w:eastAsia="Times New Roman" w:hAnsi="Times New Roman"/>
        </w:rPr>
        <w:t>эстимации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AdIndex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14:paraId="08174723" w14:textId="77777777" w:rsidR="000576CF" w:rsidRDefault="00000000">
      <w:pPr>
        <w:spacing w:after="0"/>
        <w:ind w:left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Участник рейтинга должен вести самостоятельную деятельность как в привлечении контрактов, так и в осуществлении закупок рекламы в медиа (обслуживание интересов рекламодателей). </w:t>
      </w:r>
      <w:proofErr w:type="spellStart"/>
      <w:r>
        <w:rPr>
          <w:rFonts w:ascii="Times New Roman" w:eastAsia="Times New Roman" w:hAnsi="Times New Roman"/>
        </w:rPr>
        <w:t>Evidence</w:t>
      </w:r>
      <w:proofErr w:type="spellEnd"/>
      <w:r>
        <w:rPr>
          <w:rFonts w:ascii="Times New Roman" w:eastAsia="Times New Roman" w:hAnsi="Times New Roman"/>
        </w:rPr>
        <w:t xml:space="preserve"> - наличие прямых контрактов как с заказчиками, так и с провайдерами инвентаря. </w:t>
      </w:r>
    </w:p>
    <w:p w14:paraId="0010B028" w14:textId="2E59ADB5" w:rsidR="000576CF" w:rsidRDefault="00000000">
      <w:pPr>
        <w:spacing w:after="0"/>
        <w:ind w:left="260" w:firstLine="2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агентств, осуществляющих </w:t>
      </w:r>
      <w:r>
        <w:rPr>
          <w:rFonts w:ascii="Times New Roman" w:eastAsia="Times New Roman" w:hAnsi="Times New Roman"/>
          <w:b/>
        </w:rPr>
        <w:t>ТВ-закупки,</w:t>
      </w:r>
      <w:r>
        <w:rPr>
          <w:rFonts w:ascii="Times New Roman" w:eastAsia="Times New Roman" w:hAnsi="Times New Roman"/>
        </w:rPr>
        <w:t xml:space="preserve"> обязательным условием участия является наличие подписки на данные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14:paraId="1B42A8FA" w14:textId="12ACEF4F" w:rsidR="000576CF" w:rsidRDefault="00000000">
      <w:pPr>
        <w:spacing w:after="0"/>
        <w:ind w:left="260" w:firstLine="2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агентств, осуществляющих </w:t>
      </w:r>
      <w:r>
        <w:rPr>
          <w:rFonts w:ascii="Times New Roman" w:eastAsia="Times New Roman" w:hAnsi="Times New Roman"/>
          <w:b/>
        </w:rPr>
        <w:t>закупки наружной рекламы,</w:t>
      </w:r>
      <w:r>
        <w:rPr>
          <w:rFonts w:ascii="Times New Roman" w:eastAsia="Times New Roman" w:hAnsi="Times New Roman"/>
        </w:rPr>
        <w:t xml:space="preserve"> обязательным условием участия является наличие подписки на данные </w:t>
      </w:r>
      <w:proofErr w:type="spellStart"/>
      <w:r w:rsidR="008530B5">
        <w:rPr>
          <w:rFonts w:ascii="Times New Roman" w:eastAsia="Times New Roman" w:hAnsi="Times New Roman"/>
        </w:rPr>
        <w:t>Mediascope</w:t>
      </w:r>
      <w:proofErr w:type="spellEnd"/>
      <w:r>
        <w:rPr>
          <w:rFonts w:ascii="Times New Roman" w:eastAsia="Times New Roman" w:hAnsi="Times New Roman"/>
        </w:rPr>
        <w:t xml:space="preserve"> или </w:t>
      </w:r>
      <w:proofErr w:type="spellStart"/>
      <w:r>
        <w:rPr>
          <w:rFonts w:ascii="Times New Roman" w:eastAsia="Times New Roman" w:hAnsi="Times New Roman"/>
        </w:rPr>
        <w:t>Admetrics</w:t>
      </w:r>
      <w:proofErr w:type="spellEnd"/>
      <w:r>
        <w:rPr>
          <w:rFonts w:ascii="Times New Roman" w:eastAsia="Times New Roman" w:hAnsi="Times New Roman"/>
        </w:rPr>
        <w:t>.</w:t>
      </w:r>
    </w:p>
    <w:p w14:paraId="67594C5F" w14:textId="77777777" w:rsidR="000576CF" w:rsidRDefault="000576CF">
      <w:pPr>
        <w:spacing w:after="0"/>
        <w:rPr>
          <w:rFonts w:ascii="Times New Roman" w:eastAsia="Times New Roman" w:hAnsi="Times New Roman"/>
        </w:rPr>
      </w:pPr>
    </w:p>
    <w:p w14:paraId="67D3BFE9" w14:textId="77777777" w:rsidR="000576CF" w:rsidRDefault="0000000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8. </w:t>
      </w:r>
      <w:r>
        <w:rPr>
          <w:rFonts w:ascii="Times New Roman" w:eastAsia="Times New Roman" w:hAnsi="Times New Roman"/>
          <w:b/>
        </w:rPr>
        <w:t>Группа</w:t>
      </w:r>
      <w:r>
        <w:rPr>
          <w:rFonts w:ascii="Times New Roman" w:eastAsia="Times New Roman" w:hAnsi="Times New Roman"/>
        </w:rPr>
        <w:t xml:space="preserve">. Объединение участников рейтинга на юридической или договорной основе. </w:t>
      </w:r>
    </w:p>
    <w:p w14:paraId="417640F6" w14:textId="77777777" w:rsidR="000576CF" w:rsidRDefault="00000000">
      <w:pPr>
        <w:spacing w:after="0"/>
        <w:ind w:left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Юридические основания</w:t>
      </w:r>
    </w:p>
    <w:p w14:paraId="70A6E5BF" w14:textId="77777777" w:rsidR="000576CF" w:rsidRDefault="00000000">
      <w:pPr>
        <w:spacing w:after="0"/>
        <w:ind w:left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b/>
        </w:rPr>
        <w:t>Подтверждения</w:t>
      </w:r>
      <w:r>
        <w:rPr>
          <w:rFonts w:ascii="Times New Roman" w:eastAsia="Times New Roman" w:hAnsi="Times New Roman"/>
        </w:rPr>
        <w:t>:</w:t>
      </w:r>
    </w:p>
    <w:p w14:paraId="4DC8BC0F" w14:textId="77777777" w:rsidR="000576CF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Упоминание агентства в составе структуры группы на сайте группы.</w:t>
      </w:r>
    </w:p>
    <w:p w14:paraId="28E3660A" w14:textId="77777777" w:rsidR="000576CF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Упоминание агентства в составе структуры группы в публикациях в профильных и деловых СМИ.</w:t>
      </w:r>
    </w:p>
    <w:p w14:paraId="36CE5843" w14:textId="77777777" w:rsidR="000576CF" w:rsidRDefault="00000000">
      <w:pPr>
        <w:spacing w:after="0"/>
        <w:ind w:left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Договорные основания</w:t>
      </w:r>
    </w:p>
    <w:p w14:paraId="251CD8E2" w14:textId="77777777" w:rsidR="000576CF" w:rsidRDefault="00000000">
      <w:pPr>
        <w:spacing w:after="0"/>
        <w:ind w:left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Подтверждения</w:t>
      </w:r>
      <w:r>
        <w:rPr>
          <w:rFonts w:ascii="Times New Roman" w:eastAsia="Times New Roman" w:hAnsi="Times New Roman"/>
        </w:rPr>
        <w:t xml:space="preserve">: </w:t>
      </w:r>
    </w:p>
    <w:p w14:paraId="5EB92812" w14:textId="77777777" w:rsidR="000576CF" w:rsidRDefault="00000000">
      <w:pPr>
        <w:numPr>
          <w:ilvl w:val="0"/>
          <w:numId w:val="6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Объявление о заключении </w:t>
      </w:r>
      <w:proofErr w:type="spellStart"/>
      <w:r>
        <w:rPr>
          <w:rFonts w:ascii="Times New Roman" w:eastAsia="Times New Roman" w:hAnsi="Times New Roman"/>
        </w:rPr>
        <w:t>баингового</w:t>
      </w:r>
      <w:proofErr w:type="spellEnd"/>
      <w:r>
        <w:rPr>
          <w:rFonts w:ascii="Times New Roman" w:eastAsia="Times New Roman" w:hAnsi="Times New Roman"/>
        </w:rPr>
        <w:t xml:space="preserve"> альянса (публикации в профильных СМИ)</w:t>
      </w:r>
    </w:p>
    <w:p w14:paraId="00432FCE" w14:textId="77777777" w:rsidR="000576CF" w:rsidRDefault="00000000">
      <w:pPr>
        <w:numPr>
          <w:ilvl w:val="0"/>
          <w:numId w:val="6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Подтверждение объединенных закупок крупнейшими </w:t>
      </w:r>
      <w:proofErr w:type="spellStart"/>
      <w:r>
        <w:rPr>
          <w:rFonts w:ascii="Times New Roman" w:eastAsia="Times New Roman" w:hAnsi="Times New Roman"/>
        </w:rPr>
        <w:t>селлерами</w:t>
      </w:r>
      <w:proofErr w:type="spellEnd"/>
      <w:r>
        <w:rPr>
          <w:rFonts w:ascii="Times New Roman" w:eastAsia="Times New Roman" w:hAnsi="Times New Roman"/>
        </w:rPr>
        <w:t>.</w:t>
      </w:r>
    </w:p>
    <w:p w14:paraId="2C8DAF94" w14:textId="77777777" w:rsidR="000576CF" w:rsidRDefault="0000000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Подтверждениями </w:t>
      </w:r>
      <w:r>
        <w:rPr>
          <w:rFonts w:ascii="Times New Roman" w:eastAsia="Times New Roman" w:hAnsi="Times New Roman"/>
          <w:b/>
          <w:color w:val="FF0000"/>
        </w:rPr>
        <w:t xml:space="preserve">не </w:t>
      </w:r>
      <w:r>
        <w:rPr>
          <w:rFonts w:ascii="Times New Roman" w:eastAsia="Times New Roman" w:hAnsi="Times New Roman"/>
          <w:b/>
        </w:rPr>
        <w:t>являются</w:t>
      </w:r>
      <w:r>
        <w:rPr>
          <w:rFonts w:ascii="Times New Roman" w:eastAsia="Times New Roman" w:hAnsi="Times New Roman"/>
        </w:rPr>
        <w:t xml:space="preserve">: </w:t>
      </w:r>
    </w:p>
    <w:p w14:paraId="52958E04" w14:textId="77777777" w:rsidR="000576CF" w:rsidRDefault="0000000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Письма от представителей групп о том, что агентства образуют </w:t>
      </w:r>
      <w:proofErr w:type="spellStart"/>
      <w:r>
        <w:rPr>
          <w:rFonts w:ascii="Times New Roman" w:eastAsia="Times New Roman" w:hAnsi="Times New Roman"/>
        </w:rPr>
        <w:t>баинговый</w:t>
      </w:r>
      <w:proofErr w:type="spellEnd"/>
      <w:r>
        <w:rPr>
          <w:rFonts w:ascii="Times New Roman" w:eastAsia="Times New Roman" w:hAnsi="Times New Roman"/>
        </w:rPr>
        <w:t xml:space="preserve"> альянс.</w:t>
      </w:r>
    </w:p>
    <w:p w14:paraId="4E762218" w14:textId="77777777" w:rsidR="000576CF" w:rsidRDefault="000576CF">
      <w:pPr>
        <w:spacing w:after="0"/>
        <w:rPr>
          <w:rFonts w:ascii="Times New Roman" w:eastAsia="Times New Roman" w:hAnsi="Times New Roman"/>
        </w:rPr>
      </w:pPr>
    </w:p>
    <w:p w14:paraId="2506C91D" w14:textId="77777777" w:rsidR="000576CF" w:rsidRDefault="0000000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9. </w:t>
      </w:r>
      <w:r>
        <w:rPr>
          <w:rFonts w:ascii="Times New Roman" w:eastAsia="Times New Roman" w:hAnsi="Times New Roman"/>
          <w:b/>
        </w:rPr>
        <w:t>Бюджет</w:t>
      </w:r>
      <w:r>
        <w:rPr>
          <w:rFonts w:ascii="Times New Roman" w:eastAsia="Times New Roman" w:hAnsi="Times New Roman"/>
        </w:rPr>
        <w:t xml:space="preserve">. Оценочное значение бюджета на размещение на основе мониторинга. Фактические бюджеты, раскрываемые агентствами или взятые в открытых источниках (публичные тендеры), в расчет не берутся, поскольку это нарушает принцип равенства участников ранжирования и единый подход к </w:t>
      </w:r>
      <w:proofErr w:type="spellStart"/>
      <w:r>
        <w:rPr>
          <w:rFonts w:ascii="Times New Roman" w:eastAsia="Times New Roman" w:hAnsi="Times New Roman"/>
        </w:rPr>
        <w:t>эстимации</w:t>
      </w:r>
      <w:proofErr w:type="spellEnd"/>
      <w:r>
        <w:rPr>
          <w:rFonts w:ascii="Times New Roman" w:eastAsia="Times New Roman" w:hAnsi="Times New Roman"/>
        </w:rPr>
        <w:t>.</w:t>
      </w:r>
    </w:p>
    <w:p w14:paraId="105E2193" w14:textId="77777777" w:rsidR="000576CF" w:rsidRDefault="000576CF">
      <w:pPr>
        <w:rPr>
          <w:rFonts w:ascii="Times New Roman" w:eastAsia="Times New Roman" w:hAnsi="Times New Roman"/>
        </w:rPr>
      </w:pPr>
    </w:p>
    <w:p w14:paraId="063AB52F" w14:textId="77777777" w:rsidR="000576CF" w:rsidRDefault="00000000">
      <w:pPr>
        <w:spacing w:after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Принципы разрешения споров</w:t>
      </w:r>
    </w:p>
    <w:p w14:paraId="15458912" w14:textId="77777777" w:rsidR="000576CF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Бюджет засчитывается агентствам, предоставившим подтверждающие документы, в равных долях пропорционально количеству претендентов. В случае несогласия с процентами деления бюджета допускается уточнение справедливых пропорций с привлечением клиентской стороны.</w:t>
      </w:r>
    </w:p>
    <w:p w14:paraId="27A82579" w14:textId="77777777" w:rsidR="000576CF" w:rsidRDefault="000576CF">
      <w:pPr>
        <w:spacing w:after="0"/>
        <w:rPr>
          <w:rFonts w:ascii="Times New Roman" w:eastAsia="Times New Roman" w:hAnsi="Times New Roman"/>
        </w:rPr>
      </w:pPr>
    </w:p>
    <w:p w14:paraId="78B253B1" w14:textId="77777777" w:rsidR="000576CF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Бюджет засчитывается агентству, предоставившему подтверждающие документы, полностью, если оппоненты не подтвердили свои заявления (документы с их стороны отсутствуют или не соответствуют предмету спора / не раскрывают предмет спора.</w:t>
      </w:r>
    </w:p>
    <w:p w14:paraId="6C41AB1A" w14:textId="77777777" w:rsidR="000576CF" w:rsidRDefault="000576CF">
      <w:pPr>
        <w:spacing w:after="0"/>
        <w:rPr>
          <w:rFonts w:ascii="Times New Roman" w:eastAsia="Times New Roman" w:hAnsi="Times New Roman"/>
        </w:rPr>
      </w:pPr>
    </w:p>
    <w:p w14:paraId="2E4E03C0" w14:textId="77777777" w:rsidR="000576CF" w:rsidRDefault="0000000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Если оба агентства не предоставляют документы или предоставляют документы без детализации размещения (не указаны виды медиа и сроки размещения), спорный бюджет не засчитывается ни одному из претендентов. </w:t>
      </w:r>
    </w:p>
    <w:p w14:paraId="01F2A79C" w14:textId="77777777" w:rsidR="000576CF" w:rsidRDefault="000576CF">
      <w:pPr>
        <w:rPr>
          <w:rFonts w:ascii="Times New Roman" w:eastAsia="Times New Roman" w:hAnsi="Times New Roman"/>
          <w:b/>
        </w:rPr>
      </w:pPr>
    </w:p>
    <w:p w14:paraId="5514AA64" w14:textId="77777777" w:rsidR="000576CF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</w:rPr>
        <w:t>Верификация</w:t>
      </w:r>
    </w:p>
    <w:p w14:paraId="14D9AA4E" w14:textId="77777777" w:rsidR="000576CF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Все контракты, которые составляют более 5% в обороте агентства, в обязательном порядке сопровождаются документальными подтверждениями (Правило пяти процентов).</w:t>
      </w:r>
    </w:p>
    <w:p w14:paraId="7D6732FF" w14:textId="77777777" w:rsidR="000576C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lastRenderedPageBreak/>
        <w:t>AdIndex</w:t>
      </w:r>
      <w:proofErr w:type="spellEnd"/>
      <w:r>
        <w:rPr>
          <w:rFonts w:ascii="Times New Roman" w:eastAsia="Times New Roman" w:hAnsi="Times New Roman"/>
          <w:color w:val="000000"/>
        </w:rPr>
        <w:t xml:space="preserve"> имеет право запрашивать у агентств подтверждающие документы в отношении контрактов менее 5% в обороте в случае возникновения сомнений в подаваемой информации. Если агентство не сможет предоставить документальные подтверждения хотя бы по нескольким клиентам из числа запрашиваемых, </w:t>
      </w:r>
      <w:proofErr w:type="spellStart"/>
      <w:r>
        <w:rPr>
          <w:rFonts w:ascii="Times New Roman" w:eastAsia="Times New Roman" w:hAnsi="Times New Roman"/>
          <w:color w:val="000000"/>
        </w:rPr>
        <w:t>AdIndex</w:t>
      </w:r>
      <w:proofErr w:type="spellEnd"/>
      <w:r>
        <w:rPr>
          <w:rFonts w:ascii="Times New Roman" w:eastAsia="Times New Roman" w:hAnsi="Times New Roman"/>
          <w:color w:val="000000"/>
        </w:rPr>
        <w:t xml:space="preserve"> получает право запрашивать подтверждение по любому количеству клиентов на выбор. В случае отсутствия подтверждений по более чем 30% контрактов (количественно) агентство исключается из рейтинга с указанием причины дисквалификации. Восстановление в составе участников рейтинга допускается спустя через три года после года дисквалификации.</w:t>
      </w:r>
    </w:p>
    <w:p w14:paraId="7B1C5778" w14:textId="77777777" w:rsidR="000576C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Распределение бюджетов группы по брендам агентств, юридические лица которых не указывают прямо на агентский бренд, производится на усмотрение группы на этапе сбора клиентских листов, и в последующем не пересматривается.</w:t>
      </w:r>
    </w:p>
    <w:p w14:paraId="09549A19" w14:textId="77777777" w:rsidR="000576C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Перераспределение бюджетов между агентствами внутри группы на этапе согласования оборотов запрещено.</w:t>
      </w:r>
    </w:p>
    <w:p w14:paraId="0DA85C2B" w14:textId="77777777" w:rsidR="000576C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 случае многократных нарушений принципа достоверности подаваемой информации или полного отсутствия обоснований размещений агентства из рейтинга исключаются или включаются с бюджетами, в управлении которыми у составителей нет сомнений (сетевые контракты, контракты на основе открытых тендеров и </w:t>
      </w:r>
      <w:proofErr w:type="gramStart"/>
      <w:r>
        <w:rPr>
          <w:rFonts w:ascii="Times New Roman" w:eastAsia="Times New Roman" w:hAnsi="Times New Roman"/>
          <w:color w:val="000000"/>
        </w:rPr>
        <w:t>т.д.</w:t>
      </w:r>
      <w:proofErr w:type="gramEnd"/>
      <w:r>
        <w:rPr>
          <w:rFonts w:ascii="Times New Roman" w:eastAsia="Times New Roman" w:hAnsi="Times New Roman"/>
          <w:color w:val="000000"/>
        </w:rPr>
        <w:t>). По этой причине в рейтинге отсутствуют некоторые агентства, которые не смогли подтвердить заявленную информация в рамках фактчекинга.</w:t>
      </w:r>
    </w:p>
    <w:p w14:paraId="0EE4A21C" w14:textId="77777777" w:rsidR="000576C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 2020 года </w:t>
      </w:r>
      <w:proofErr w:type="spellStart"/>
      <w:r>
        <w:rPr>
          <w:rFonts w:ascii="Times New Roman" w:eastAsia="Times New Roman" w:hAnsi="Times New Roman"/>
          <w:color w:val="000000"/>
        </w:rPr>
        <w:t>копромо</w:t>
      </w:r>
      <w:proofErr w:type="spellEnd"/>
      <w:r>
        <w:rPr>
          <w:rFonts w:ascii="Times New Roman" w:eastAsia="Times New Roman" w:hAnsi="Times New Roman"/>
          <w:color w:val="000000"/>
        </w:rPr>
        <w:t>-проекты, в которых участвуют несколько рекламодателей, не засчитываются какому-то одному агентству. Исключение – присутствие всех рекламодателей, участвующих в кампании, в клиентском листе агентства. </w:t>
      </w:r>
    </w:p>
    <w:p w14:paraId="742BC065" w14:textId="77777777" w:rsidR="000576CF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</w:rPr>
        <w:t>Включение в оценку</w:t>
      </w:r>
    </w:p>
    <w:p w14:paraId="4D80D3AF" w14:textId="65FB4BB3" w:rsidR="000576CF" w:rsidRDefault="0000000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В рейтинг </w:t>
      </w:r>
      <w:proofErr w:type="spellStart"/>
      <w:r>
        <w:rPr>
          <w:rFonts w:ascii="Times New Roman" w:eastAsia="Times New Roman" w:hAnsi="Times New Roman"/>
          <w:color w:val="000000"/>
        </w:rPr>
        <w:t>AdIndex</w:t>
      </w:r>
      <w:proofErr w:type="spellEnd"/>
      <w:r>
        <w:rPr>
          <w:rFonts w:ascii="Times New Roman" w:eastAsia="Times New Roman" w:hAnsi="Times New Roman"/>
          <w:color w:val="000000"/>
        </w:rPr>
        <w:t xml:space="preserve"> включаются все компании, входящие Топ-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color w:val="000000"/>
        </w:rPr>
        <w:t>0 агентств и Топ-5 групп предыдущего выпуска. В случае отказа в предоставлении данных вычисления производятся на основе открытых источников информации. При этом осуществляется уведомление компаний о полученных результатах и приглашение скорректировать оценки. В случае отказа информация публик</w:t>
      </w:r>
      <w:r w:rsidR="00940701">
        <w:rPr>
          <w:rFonts w:ascii="Times New Roman" w:eastAsia="Times New Roman" w:hAnsi="Times New Roman"/>
          <w:color w:val="000000"/>
        </w:rPr>
        <w:t>овалась</w:t>
      </w:r>
      <w:r>
        <w:rPr>
          <w:rFonts w:ascii="Times New Roman" w:eastAsia="Times New Roman" w:hAnsi="Times New Roman"/>
          <w:color w:val="000000"/>
        </w:rPr>
        <w:t xml:space="preserve"> со сноской об отказе подтвердить или опровергнуть результаты.</w:t>
      </w:r>
    </w:p>
    <w:sectPr w:rsidR="000576CF">
      <w:pgSz w:w="11906" w:h="16838"/>
      <w:pgMar w:top="709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96E"/>
    <w:multiLevelType w:val="multilevel"/>
    <w:tmpl w:val="1032ADD4"/>
    <w:lvl w:ilvl="0">
      <w:start w:val="3"/>
      <w:numFmt w:val="bullet"/>
      <w:lvlText w:val="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B22CE"/>
    <w:multiLevelType w:val="multilevel"/>
    <w:tmpl w:val="C6984DD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DA1FEA"/>
    <w:multiLevelType w:val="multilevel"/>
    <w:tmpl w:val="02781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2D36"/>
    <w:multiLevelType w:val="multilevel"/>
    <w:tmpl w:val="538E0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184E"/>
    <w:multiLevelType w:val="multilevel"/>
    <w:tmpl w:val="56A43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0B2B"/>
    <w:multiLevelType w:val="multilevel"/>
    <w:tmpl w:val="2996AA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6D4757"/>
    <w:multiLevelType w:val="multilevel"/>
    <w:tmpl w:val="1DBE7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B00033"/>
    <w:multiLevelType w:val="multilevel"/>
    <w:tmpl w:val="996663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E73856"/>
    <w:multiLevelType w:val="multilevel"/>
    <w:tmpl w:val="1AD84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296EFB"/>
    <w:multiLevelType w:val="multilevel"/>
    <w:tmpl w:val="E56C0B4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FD34CE"/>
    <w:multiLevelType w:val="multilevel"/>
    <w:tmpl w:val="1A38255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141191200">
    <w:abstractNumId w:val="5"/>
  </w:num>
  <w:num w:numId="2" w16cid:durableId="44647492">
    <w:abstractNumId w:val="2"/>
  </w:num>
  <w:num w:numId="3" w16cid:durableId="1209880170">
    <w:abstractNumId w:val="7"/>
  </w:num>
  <w:num w:numId="4" w16cid:durableId="1280992310">
    <w:abstractNumId w:val="8"/>
  </w:num>
  <w:num w:numId="5" w16cid:durableId="163711954">
    <w:abstractNumId w:val="6"/>
  </w:num>
  <w:num w:numId="6" w16cid:durableId="816798832">
    <w:abstractNumId w:val="10"/>
  </w:num>
  <w:num w:numId="7" w16cid:durableId="1410687859">
    <w:abstractNumId w:val="3"/>
  </w:num>
  <w:num w:numId="8" w16cid:durableId="844907278">
    <w:abstractNumId w:val="1"/>
  </w:num>
  <w:num w:numId="9" w16cid:durableId="453717470">
    <w:abstractNumId w:val="0"/>
  </w:num>
  <w:num w:numId="10" w16cid:durableId="46607539">
    <w:abstractNumId w:val="4"/>
  </w:num>
  <w:num w:numId="11" w16cid:durableId="2046327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CF"/>
    <w:rsid w:val="000576CF"/>
    <w:rsid w:val="002731ED"/>
    <w:rsid w:val="008458FC"/>
    <w:rsid w:val="008530B5"/>
    <w:rsid w:val="00940701"/>
    <w:rsid w:val="00A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F8EA"/>
  <w15:docId w15:val="{5C09C9E4-14A2-41A5-8152-7DBA1099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53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DC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E1553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5E1553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5E1553"/>
    <w:rPr>
      <w:b/>
      <w:bCs/>
      <w:i/>
      <w:iCs/>
      <w:color w:val="4472C4" w:themeColor="accent1"/>
    </w:rPr>
  </w:style>
  <w:style w:type="character" w:styleId="a7">
    <w:name w:val="Hyperlink"/>
    <w:basedOn w:val="a0"/>
    <w:uiPriority w:val="99"/>
    <w:unhideWhenUsed/>
    <w:rsid w:val="0047686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064D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C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75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UNtJn3NmcPxomm+gLaZedUc4A==">CgMxLjAyCmlkLjMwajB6bGwyCGguZ2pkZ3hzMgppZC4zem55c2g3MgloLjFmb2I5dGUyCmlkLjJzOGV5bzEyCmlkLjNkeTZ2a20yCmlkLjI2aW4xcmcyCmlkLjE3ZHA4dnUyCmlkLjNyZGNyam4yCmlkLjFrc3Y0dXYyCmlkLjM1bmt1bjIyCWlkLmxueGJ6OTIKaWQuNGQzNG9nODIKaWQuMXQzaDVzZjIIaC50eWpjd3Q4AHIhMUtZWEYwU2pYQ043ckxwZ2hSWjFZeHpNa3RUcWhfbm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2621</Words>
  <Characters>14942</Characters>
  <Application>Microsoft Office Word</Application>
  <DocSecurity>0</DocSecurity>
  <Lines>124</Lines>
  <Paragraphs>35</Paragraphs>
  <ScaleCrop>false</ScaleCrop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Пустовит</dc:creator>
  <cp:lastModifiedBy>Ирина Пустовит</cp:lastModifiedBy>
  <cp:revision>6</cp:revision>
  <dcterms:created xsi:type="dcterms:W3CDTF">2023-02-16T11:00:00Z</dcterms:created>
  <dcterms:modified xsi:type="dcterms:W3CDTF">2024-04-24T13:21:00Z</dcterms:modified>
</cp:coreProperties>
</file>