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9AEB" w14:textId="315C4D4A" w:rsidR="00CE7BD8" w:rsidRPr="00247EFC" w:rsidRDefault="00CE7BD8" w:rsidP="005E1553">
      <w:pPr>
        <w:rPr>
          <w:rFonts w:asciiTheme="minorHAnsi" w:hAnsiTheme="minorHAnsi" w:cstheme="minorHAnsi"/>
          <w:b/>
          <w:bCs/>
        </w:rPr>
      </w:pPr>
      <w:r w:rsidRPr="00247EFC">
        <w:rPr>
          <w:rFonts w:asciiTheme="minorHAnsi" w:hAnsiTheme="minorHAnsi" w:cstheme="minorHAnsi"/>
          <w:b/>
          <w:bCs/>
        </w:rPr>
        <w:t xml:space="preserve">РЕЙТИНГ КРУПНЕЙШИХ </w:t>
      </w:r>
      <w:r w:rsidR="00E61308" w:rsidRPr="00247EFC">
        <w:rPr>
          <w:rFonts w:asciiTheme="minorHAnsi" w:hAnsiTheme="minorHAnsi" w:cstheme="minorHAnsi"/>
          <w:b/>
          <w:bCs/>
        </w:rPr>
        <w:t xml:space="preserve">МЕДИАСЕРВИСНЫХ </w:t>
      </w:r>
      <w:r w:rsidRPr="00247EFC">
        <w:rPr>
          <w:rFonts w:asciiTheme="minorHAnsi" w:hAnsiTheme="minorHAnsi" w:cstheme="minorHAnsi"/>
          <w:b/>
          <w:bCs/>
        </w:rPr>
        <w:t>АГЕНТСТВ</w:t>
      </w:r>
    </w:p>
    <w:p w14:paraId="26574BF0" w14:textId="182D3146" w:rsidR="005E1553" w:rsidRPr="00247EFC" w:rsidRDefault="00CE7BD8" w:rsidP="005E1553">
      <w:pPr>
        <w:rPr>
          <w:rFonts w:asciiTheme="minorHAnsi" w:hAnsiTheme="minorHAnsi" w:cstheme="minorHAnsi"/>
          <w:b/>
          <w:bCs/>
        </w:rPr>
      </w:pPr>
      <w:r w:rsidRPr="00247EFC">
        <w:rPr>
          <w:rFonts w:asciiTheme="minorHAnsi" w:hAnsiTheme="minorHAnsi" w:cstheme="minorHAnsi"/>
          <w:b/>
          <w:bCs/>
        </w:rPr>
        <w:t>Описание проекта</w:t>
      </w:r>
    </w:p>
    <w:p w14:paraId="2B998F14" w14:textId="1BCB7383" w:rsidR="005E1553" w:rsidRPr="00247EFC" w:rsidRDefault="005E1553" w:rsidP="005E1553">
      <w:pPr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</w:rPr>
        <w:t xml:space="preserve">Рейтинг медиаагентств является производным от </w:t>
      </w:r>
      <w:hyperlink r:id="rId7" w:history="1">
        <w:r w:rsidRPr="00247EFC">
          <w:rPr>
            <w:rStyle w:val="a6"/>
            <w:rFonts w:asciiTheme="minorHAnsi" w:hAnsiTheme="minorHAnsi" w:cstheme="minorHAnsi"/>
          </w:rPr>
          <w:t>рейтинга рекламодателей</w:t>
        </w:r>
      </w:hyperlink>
      <w:r w:rsidRPr="00247EFC">
        <w:rPr>
          <w:rFonts w:asciiTheme="minorHAnsi" w:hAnsiTheme="minorHAnsi" w:cstheme="minorHAnsi"/>
        </w:rPr>
        <w:t xml:space="preserve">. </w:t>
      </w:r>
      <w:r w:rsidR="002534F1" w:rsidRPr="00247EFC">
        <w:rPr>
          <w:rFonts w:asciiTheme="minorHAnsi" w:hAnsiTheme="minorHAnsi" w:cstheme="minorHAnsi"/>
        </w:rPr>
        <w:t>Обороты агентств складываются из медийных бюджетов обслуживаемых ими рекламодателей.</w:t>
      </w:r>
    </w:p>
    <w:p w14:paraId="2EB50138" w14:textId="77777777" w:rsidR="00E61308" w:rsidRPr="00247EFC" w:rsidRDefault="00E61308" w:rsidP="00E61308">
      <w:pPr>
        <w:pStyle w:val="ac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Определения, принятые в рамках рейтинга</w:t>
      </w:r>
    </w:p>
    <w:p w14:paraId="70FC97E2" w14:textId="77777777" w:rsidR="00E61308" w:rsidRPr="00247EFC" w:rsidRDefault="00E61308" w:rsidP="00FD44E8">
      <w:pPr>
        <w:pStyle w:val="ac"/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Медиа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>. Средство распространения рекламы: ТВ, радио, пресса, интернет, конструкции наружной рекламы.</w:t>
      </w:r>
    </w:p>
    <w:p w14:paraId="255BB170" w14:textId="77777777" w:rsidR="00E61308" w:rsidRPr="00247EFC" w:rsidRDefault="00E61308" w:rsidP="00FD44E8">
      <w:pPr>
        <w:pStyle w:val="ac"/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Интерес рекламодателя в медиа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>. Размещение рекламы в одном из средств ее распространения на территории России.</w:t>
      </w:r>
    </w:p>
    <w:p w14:paraId="49B2E4BD" w14:textId="77777777" w:rsidR="00E61308" w:rsidRPr="00247EFC" w:rsidRDefault="00E61308" w:rsidP="00FD44E8">
      <w:pPr>
        <w:pStyle w:val="ac"/>
        <w:spacing w:before="0" w:beforeAutospacing="0" w:after="0" w:afterAutospacing="0"/>
        <w:ind w:left="426" w:hanging="284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Прямой контракт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. Контракт с рекламодателем на размещение рекламы в медиа на территории России. Для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инхаусных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агентств* действует ограничение: контракт должен быть получен в результате тендера/конкурса (требуется подтверждение в виде открытой конкурсной документации или публикаций в СМИ). Если нет информации, что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инхаусное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агентство получило контракт на тендерной основе, то контракт следующего агентства считается прямым.</w:t>
      </w:r>
    </w:p>
    <w:p w14:paraId="6EFDF256" w14:textId="77777777" w:rsidR="00E61308" w:rsidRPr="00247EFC" w:rsidRDefault="00E61308" w:rsidP="00FD44E8">
      <w:pPr>
        <w:pStyle w:val="ac"/>
        <w:spacing w:before="0" w:beforeAutospacing="0" w:after="0" w:afterAutospacing="0"/>
        <w:ind w:left="851" w:hanging="284"/>
        <w:rPr>
          <w:rFonts w:asciiTheme="minorHAnsi" w:hAnsiTheme="minorHAnsi" w:cstheme="minorHAnsi"/>
          <w:sz w:val="20"/>
          <w:szCs w:val="20"/>
        </w:rPr>
      </w:pPr>
      <w:r w:rsidRPr="00247EFC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Pr="00247EFC">
        <w:rPr>
          <w:rFonts w:asciiTheme="minorHAnsi" w:hAnsiTheme="minorHAnsi" w:cstheme="minorHAnsi"/>
          <w:i/>
          <w:iCs/>
          <w:color w:val="000000"/>
          <w:sz w:val="18"/>
          <w:szCs w:val="18"/>
        </w:rPr>
        <w:t>Компания, которая получает бюджет на закупки для всех или части сателлитов материнской структуры, а затем направляет бюджеты в медиа или поручает другим агентствам, часто через тендеры.</w:t>
      </w:r>
    </w:p>
    <w:p w14:paraId="7725441C" w14:textId="77777777" w:rsidR="00E61308" w:rsidRPr="00247EFC" w:rsidRDefault="00E61308" w:rsidP="00FD44E8">
      <w:pPr>
        <w:pStyle w:val="ac"/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Медиасервис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>. Обслуживание интересов рекламодателя в медиа на территории России по прямому контракту.</w:t>
      </w:r>
    </w:p>
    <w:p w14:paraId="6BB2E7A5" w14:textId="77777777" w:rsidR="00E61308" w:rsidRPr="00247EFC" w:rsidRDefault="00E61308" w:rsidP="00FD44E8">
      <w:pPr>
        <w:pStyle w:val="ac"/>
        <w:spacing w:before="0" w:beforeAutospacing="0" w:after="0" w:afterAutospacing="0"/>
        <w:ind w:left="426" w:hanging="284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5. </w:t>
      </w: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Агентский бренд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>. Название, позволяющее однозначно идентифицировать агентство. </w:t>
      </w:r>
    </w:p>
    <w:p w14:paraId="496DA059" w14:textId="77777777" w:rsidR="00E61308" w:rsidRPr="00247EFC" w:rsidRDefault="00E61308" w:rsidP="00E61308">
      <w:pPr>
        <w:pStyle w:val="ac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Необходимые признаки бренда</w:t>
      </w:r>
    </w:p>
    <w:p w14:paraId="0DAD5678" w14:textId="77777777" w:rsidR="00E61308" w:rsidRPr="00247EFC" w:rsidRDefault="00E61308" w:rsidP="00E61308">
      <w:pPr>
        <w:pStyle w:val="ac"/>
        <w:spacing w:before="0" w:beforeAutospacing="0" w:after="0" w:afterAutospacing="0"/>
        <w:ind w:left="62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1) Наличие уникального названия, логотипа*; </w:t>
      </w:r>
    </w:p>
    <w:p w14:paraId="4DDAEECB" w14:textId="77777777" w:rsidR="00E61308" w:rsidRPr="00247EFC" w:rsidRDefault="00E61308" w:rsidP="00E61308">
      <w:pPr>
        <w:pStyle w:val="ac"/>
        <w:spacing w:before="0" w:beforeAutospacing="0" w:after="0" w:afterAutospacing="0"/>
        <w:ind w:left="62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2) В течение изучаемого периода осуществляет услуги (подтверждается публикациями в СМИ) или участвует в тендерах по медиасервису от своего имени (подтверждается в открытых источниках или </w:t>
      </w:r>
      <w:proofErr w:type="gram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СМИ)*</w:t>
      </w:r>
      <w:proofErr w:type="gramEnd"/>
      <w:r w:rsidRPr="00247EFC">
        <w:rPr>
          <w:rFonts w:asciiTheme="minorHAnsi" w:hAnsiTheme="minorHAnsi" w:cstheme="minorHAnsi"/>
          <w:color w:val="000000"/>
          <w:sz w:val="22"/>
          <w:szCs w:val="22"/>
        </w:rPr>
        <w:t>; </w:t>
      </w:r>
    </w:p>
    <w:p w14:paraId="6307BA3C" w14:textId="77777777" w:rsidR="00E61308" w:rsidRPr="00247EFC" w:rsidRDefault="00E61308" w:rsidP="00E61308">
      <w:pPr>
        <w:pStyle w:val="ac"/>
        <w:spacing w:before="0" w:beforeAutospacing="0" w:after="0" w:afterAutospacing="0"/>
        <w:ind w:left="62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3) В течение изучаемого периода фигурирует в информационном пространстве, а именно: </w:t>
      </w:r>
    </w:p>
    <w:p w14:paraId="3A807D7E" w14:textId="77777777" w:rsidR="00E61308" w:rsidRPr="00247EFC" w:rsidRDefault="00E61308" w:rsidP="00FD44E8">
      <w:pPr>
        <w:pStyle w:val="ac"/>
        <w:spacing w:before="0" w:beforeAutospacing="0" w:after="0" w:afterAutospacing="0"/>
        <w:ind w:left="993" w:hanging="142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• Представлено в интернете в виде сайта и группы/сообщества в соцсетях*</w:t>
      </w:r>
    </w:p>
    <w:p w14:paraId="6E5B219D" w14:textId="77777777" w:rsidR="00E61308" w:rsidRPr="00247EFC" w:rsidRDefault="00E61308" w:rsidP="00FD44E8">
      <w:pPr>
        <w:pStyle w:val="ac"/>
        <w:spacing w:before="0" w:beforeAutospacing="0" w:after="0" w:afterAutospacing="0"/>
        <w:ind w:left="993" w:hanging="142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• Публикуется или упоминается в СМИ в изучаемом контексте**</w:t>
      </w:r>
    </w:p>
    <w:p w14:paraId="392571E1" w14:textId="77777777" w:rsidR="00E61308" w:rsidRPr="00247EFC" w:rsidRDefault="00E61308" w:rsidP="00FD44E8">
      <w:pPr>
        <w:pStyle w:val="ac"/>
        <w:spacing w:before="0" w:beforeAutospacing="0" w:after="0" w:afterAutospacing="0"/>
        <w:ind w:left="993" w:hanging="142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• Участвует в индустриальных мероприятиях**</w:t>
      </w:r>
    </w:p>
    <w:p w14:paraId="380FD24C" w14:textId="3694C0F1" w:rsidR="00E61308" w:rsidRPr="00247EFC" w:rsidRDefault="00E61308" w:rsidP="00FD44E8">
      <w:pPr>
        <w:pStyle w:val="ac"/>
        <w:spacing w:before="0" w:beforeAutospacing="0" w:after="0" w:afterAutospacing="0"/>
        <w:ind w:left="993" w:hanging="142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i/>
          <w:iCs/>
          <w:color w:val="000000"/>
          <w:sz w:val="22"/>
          <w:szCs w:val="22"/>
        </w:rPr>
        <w:t>* Обязательно </w:t>
      </w:r>
    </w:p>
    <w:p w14:paraId="52038B0B" w14:textId="03BAAC28" w:rsidR="00E61308" w:rsidRPr="00247EFC" w:rsidRDefault="00E61308" w:rsidP="00FD44E8">
      <w:pPr>
        <w:pStyle w:val="ac"/>
        <w:spacing w:before="0" w:beforeAutospacing="0" w:after="0" w:afterAutospacing="0"/>
        <w:ind w:left="993" w:hanging="142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i/>
          <w:iCs/>
          <w:color w:val="000000"/>
          <w:sz w:val="22"/>
          <w:szCs w:val="22"/>
        </w:rPr>
        <w:t>** Косвенный признак, обязательным не является </w:t>
      </w:r>
    </w:p>
    <w:p w14:paraId="6CFA123D" w14:textId="472D52CA" w:rsidR="00E61308" w:rsidRPr="00247EFC" w:rsidRDefault="00FD44E8" w:rsidP="00FD44E8">
      <w:pPr>
        <w:pStyle w:val="ac"/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61308"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Агентство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>. Компания, имеющая собственный бренд, занимающаяся обслуживанием интересов более чем одного рекламодателя, имеющая как минимум одно юридическое лицо и собственный штат сотрудников, занимающихся планированием и закупками рекламы в СМИ.</w:t>
      </w:r>
    </w:p>
    <w:p w14:paraId="509AA7EB" w14:textId="67CF11FD" w:rsidR="00E61308" w:rsidRPr="00247EFC" w:rsidRDefault="00FD44E8" w:rsidP="00FD44E8">
      <w:pPr>
        <w:pStyle w:val="ac"/>
        <w:spacing w:before="0" w:beforeAutospacing="0" w:after="0" w:afterAutospacing="0"/>
        <w:ind w:left="426" w:hanging="26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61308"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Участник рейтинга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. Любое агентство с преобладающей долей прямых клиентов (количественно более 50%), обслуживающее интересы рекламодателей в медиа на территории России суммарно более чем на 50 млн рублей (без НДС) по </w:t>
      </w:r>
      <w:proofErr w:type="spellStart"/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>эстимации</w:t>
      </w:r>
      <w:proofErr w:type="spellEnd"/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AdIndex, в интернете – суммарно более чем на 10 млн рублей (без НДС) по </w:t>
      </w:r>
      <w:proofErr w:type="spellStart"/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>эстимации</w:t>
      </w:r>
      <w:proofErr w:type="spellEnd"/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AdIndex. </w:t>
      </w:r>
    </w:p>
    <w:p w14:paraId="5828C2A7" w14:textId="77777777" w:rsidR="00E61308" w:rsidRPr="00247EFC" w:rsidRDefault="00E61308" w:rsidP="00FD44E8">
      <w:pPr>
        <w:pStyle w:val="ac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Участник рейтинга должен вести самостоятельную деятельность как в привлечении контрактов, так и в осуществлении закупок рекламы в медиа (обслуживание интересов рекламодателей). </w:t>
      </w:r>
      <w:proofErr w:type="spellStart"/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Evidence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- наличие прямых контрактов как с заказчиками, так и с провайдерами инвентаря. </w:t>
      </w:r>
    </w:p>
    <w:p w14:paraId="2EC06A2B" w14:textId="77777777" w:rsidR="00E61308" w:rsidRPr="00247EFC" w:rsidRDefault="00E61308" w:rsidP="00FD44E8">
      <w:pPr>
        <w:pStyle w:val="ac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Для агентств, осуществляющих </w:t>
      </w: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ТВ-закупки,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обязательным условием участия является наличие подписки на данные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MediaScope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26B5C3DF" w14:textId="77777777" w:rsidR="00E61308" w:rsidRPr="00247EFC" w:rsidRDefault="00E61308" w:rsidP="00FD44E8">
      <w:pPr>
        <w:pStyle w:val="ac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Для агентств, осуществляющих </w:t>
      </w: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закупки наружной рекламы,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обязательным условием участия является наличие подписки на данные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MediaScope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или «ЭСПАР-Аналитик».</w:t>
      </w:r>
    </w:p>
    <w:p w14:paraId="26280A18" w14:textId="77777777" w:rsidR="00E61308" w:rsidRPr="00247EFC" w:rsidRDefault="00E61308" w:rsidP="00E61308">
      <w:pPr>
        <w:rPr>
          <w:rFonts w:asciiTheme="minorHAnsi" w:hAnsiTheme="minorHAnsi" w:cstheme="minorHAnsi"/>
        </w:rPr>
      </w:pPr>
    </w:p>
    <w:p w14:paraId="69180A84" w14:textId="4FB4AA07" w:rsidR="00E61308" w:rsidRPr="00247EFC" w:rsidRDefault="00FD44E8" w:rsidP="002B387D">
      <w:pPr>
        <w:pStyle w:val="ac"/>
        <w:tabs>
          <w:tab w:val="left" w:pos="426"/>
        </w:tabs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61308"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Группа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>. Объединение участников рейтинга на юридической или договорной основе. </w:t>
      </w:r>
    </w:p>
    <w:p w14:paraId="5A5854F3" w14:textId="77777777" w:rsidR="00E61308" w:rsidRPr="002B387D" w:rsidRDefault="00E61308" w:rsidP="002B387D">
      <w:pPr>
        <w:pStyle w:val="ac"/>
        <w:tabs>
          <w:tab w:val="left" w:pos="426"/>
        </w:tabs>
        <w:spacing w:before="0" w:beforeAutospacing="0" w:after="0" w:afterAutospacing="0"/>
        <w:ind w:left="709" w:hanging="425"/>
        <w:rPr>
          <w:rFonts w:asciiTheme="minorHAnsi" w:hAnsiTheme="minorHAnsi" w:cstheme="minorHAnsi"/>
          <w:i/>
          <w:iCs/>
        </w:rPr>
      </w:pPr>
      <w:r w:rsidRPr="002B387D">
        <w:rPr>
          <w:rFonts w:asciiTheme="minorHAnsi" w:hAnsiTheme="minorHAnsi" w:cstheme="minorHAnsi"/>
          <w:i/>
          <w:iCs/>
          <w:color w:val="000000"/>
          <w:sz w:val="22"/>
          <w:szCs w:val="22"/>
        </w:rPr>
        <w:t>Юридические основания</w:t>
      </w:r>
    </w:p>
    <w:p w14:paraId="09BFD6CE" w14:textId="7D187B7B" w:rsidR="00E61308" w:rsidRPr="00247EFC" w:rsidRDefault="002B387D" w:rsidP="002B387D">
      <w:pPr>
        <w:pStyle w:val="ac"/>
        <w:tabs>
          <w:tab w:val="left" w:pos="426"/>
        </w:tabs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E61308"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Подтверждения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FA05F3A" w14:textId="77777777" w:rsidR="00E61308" w:rsidRPr="00247EFC" w:rsidRDefault="00E61308" w:rsidP="002B387D">
      <w:pPr>
        <w:pStyle w:val="ac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709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Упоминание агентства в составе структуры группы на сайте группы.</w:t>
      </w:r>
    </w:p>
    <w:p w14:paraId="6671E4FF" w14:textId="77777777" w:rsidR="00E61308" w:rsidRPr="00247EFC" w:rsidRDefault="00E61308" w:rsidP="002B387D">
      <w:pPr>
        <w:pStyle w:val="ac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709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Упоминание агентства в составе структуры группы в публикациях в профильных и деловых СМИ.</w:t>
      </w:r>
    </w:p>
    <w:p w14:paraId="3A6AFBEE" w14:textId="77777777" w:rsidR="00E61308" w:rsidRPr="002B387D" w:rsidRDefault="00E61308" w:rsidP="002B387D">
      <w:pPr>
        <w:pStyle w:val="ac"/>
        <w:tabs>
          <w:tab w:val="left" w:pos="426"/>
        </w:tabs>
        <w:spacing w:before="0" w:beforeAutospacing="0" w:after="0" w:afterAutospacing="0"/>
        <w:ind w:left="709" w:hanging="425"/>
        <w:rPr>
          <w:rFonts w:asciiTheme="minorHAnsi" w:hAnsiTheme="minorHAnsi" w:cstheme="minorHAnsi"/>
          <w:i/>
          <w:iCs/>
        </w:rPr>
      </w:pPr>
      <w:r w:rsidRPr="002B387D">
        <w:rPr>
          <w:rFonts w:asciiTheme="minorHAnsi" w:hAnsiTheme="minorHAnsi" w:cstheme="minorHAnsi"/>
          <w:i/>
          <w:iCs/>
          <w:color w:val="000000"/>
          <w:sz w:val="22"/>
          <w:szCs w:val="22"/>
        </w:rPr>
        <w:t>Договорные основания</w:t>
      </w:r>
    </w:p>
    <w:p w14:paraId="354FA584" w14:textId="77777777" w:rsidR="00E61308" w:rsidRPr="00247EFC" w:rsidRDefault="00E61308" w:rsidP="002B387D">
      <w:pPr>
        <w:pStyle w:val="ac"/>
        <w:tabs>
          <w:tab w:val="left" w:pos="426"/>
        </w:tabs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Подтверждения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>: </w:t>
      </w:r>
    </w:p>
    <w:p w14:paraId="4B8D7A71" w14:textId="4DD6DBDF" w:rsidR="00E61308" w:rsidRPr="00247EFC" w:rsidRDefault="00E61308" w:rsidP="002B387D">
      <w:pPr>
        <w:pStyle w:val="ac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709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Объявление о заключении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баингового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альянса (публикации в профильных СМИ)</w:t>
      </w:r>
      <w:r w:rsidR="00FD44E8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за год или в начале года составления рейтинга.</w:t>
      </w:r>
    </w:p>
    <w:p w14:paraId="0D9F1174" w14:textId="77777777" w:rsidR="00E61308" w:rsidRPr="00247EFC" w:rsidRDefault="00E61308" w:rsidP="002B387D">
      <w:pPr>
        <w:pStyle w:val="ac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709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Подтверждение объединенных закупок крупнейшими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селлерами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A6D3ECC" w14:textId="77777777" w:rsidR="00E61308" w:rsidRPr="00247EFC" w:rsidRDefault="00E61308" w:rsidP="00E61308">
      <w:pPr>
        <w:pStyle w:val="ac"/>
        <w:spacing w:before="0" w:beforeAutospacing="0" w:after="0" w:afterAutospacing="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Подтверждениями </w:t>
      </w:r>
      <w:r w:rsidRPr="00247EF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не </w:t>
      </w: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являются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>: </w:t>
      </w:r>
    </w:p>
    <w:p w14:paraId="3C0EDFAB" w14:textId="77777777" w:rsidR="00E61308" w:rsidRPr="00247EFC" w:rsidRDefault="00E61308" w:rsidP="00E61308">
      <w:pPr>
        <w:pStyle w:val="ac"/>
        <w:spacing w:before="0" w:beforeAutospacing="0" w:after="0" w:afterAutospacing="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Письма от представителей групп о том, что агентства образуют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баинговый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альянс.</w:t>
      </w:r>
    </w:p>
    <w:p w14:paraId="47E7A550" w14:textId="77777777" w:rsidR="002B387D" w:rsidRDefault="002B387D" w:rsidP="002B387D">
      <w:pPr>
        <w:pStyle w:val="ac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2E60FE59" w14:textId="67B5E38E" w:rsidR="00E61308" w:rsidRPr="00247EFC" w:rsidRDefault="002B387D" w:rsidP="002B387D">
      <w:pPr>
        <w:pStyle w:val="ac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61308"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Бюджет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>. Оценка бюджета на размещение на основе мониторинга. Фактические бюджеты, раскрываемые агентствами или взятые в открытых источниках (публичные тендеры), в расчет не берутся, поскольку это наруша</w:t>
      </w:r>
      <w:r w:rsidR="006769FB" w:rsidRPr="00247EFC">
        <w:rPr>
          <w:rFonts w:asciiTheme="minorHAnsi" w:hAnsiTheme="minorHAnsi" w:cstheme="minorHAnsi"/>
          <w:color w:val="000000"/>
          <w:sz w:val="22"/>
          <w:szCs w:val="22"/>
        </w:rPr>
        <w:t>ло бы</w:t>
      </w:r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принцип равенства участников ранжирования и единый подход к </w:t>
      </w:r>
      <w:proofErr w:type="spellStart"/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>эстимации</w:t>
      </w:r>
      <w:proofErr w:type="spellEnd"/>
      <w:r w:rsidR="00E61308" w:rsidRPr="00247EF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A0A5BDF" w14:textId="77777777" w:rsidR="00E61308" w:rsidRPr="00247EFC" w:rsidRDefault="00E61308" w:rsidP="00E61308">
      <w:pPr>
        <w:rPr>
          <w:rFonts w:asciiTheme="minorHAnsi" w:hAnsiTheme="minorHAnsi" w:cstheme="minorHAnsi"/>
        </w:rPr>
      </w:pPr>
    </w:p>
    <w:p w14:paraId="2A44DC54" w14:textId="77777777" w:rsidR="00E61308" w:rsidRPr="00247EFC" w:rsidRDefault="00E61308" w:rsidP="00E61308">
      <w:pPr>
        <w:pStyle w:val="ac"/>
        <w:spacing w:before="0" w:beforeAutospacing="0" w:afterAutospacing="0"/>
        <w:jc w:val="center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Этапы подготовки рейтинга</w:t>
      </w:r>
    </w:p>
    <w:p w14:paraId="2EC55B02" w14:textId="77777777" w:rsidR="00E61308" w:rsidRPr="00247EFC" w:rsidRDefault="00E61308" w:rsidP="00E61308">
      <w:pPr>
        <w:pStyle w:val="ac"/>
        <w:spacing w:before="0" w:beforeAutospacing="0" w:after="40" w:afterAutospacing="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1 этап. Формирование индустриального комитета</w:t>
      </w:r>
    </w:p>
    <w:p w14:paraId="6441230E" w14:textId="77777777" w:rsidR="00E61308" w:rsidRPr="00247EFC" w:rsidRDefault="00E61308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Время проведения: август-сентябрь (года исследования).</w:t>
      </w:r>
    </w:p>
    <w:p w14:paraId="31EACD4B" w14:textId="77777777" w:rsidR="00E61308" w:rsidRPr="00247EFC" w:rsidRDefault="00E61308" w:rsidP="00E61308">
      <w:pPr>
        <w:pStyle w:val="ac"/>
        <w:spacing w:before="0" w:beforeAutospacing="0" w:after="40" w:afterAutospacing="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Организация и проведение рабочих групп по всем видам медиа, изучаемых в рейтинге</w:t>
      </w:r>
    </w:p>
    <w:p w14:paraId="17D27DBB" w14:textId="77777777" w:rsidR="00E61308" w:rsidRPr="00247EFC" w:rsidRDefault="00E61308" w:rsidP="00E61308">
      <w:pPr>
        <w:pStyle w:val="ac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ТВ</w:t>
      </w:r>
    </w:p>
    <w:p w14:paraId="012E2D5A" w14:textId="77777777" w:rsidR="00E61308" w:rsidRPr="00247EFC" w:rsidRDefault="00E61308" w:rsidP="00E61308">
      <w:pPr>
        <w:pStyle w:val="ac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Радио</w:t>
      </w:r>
    </w:p>
    <w:p w14:paraId="638E94EF" w14:textId="77777777" w:rsidR="00E61308" w:rsidRPr="00247EFC" w:rsidRDefault="00E61308" w:rsidP="00E61308">
      <w:pPr>
        <w:pStyle w:val="ac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Пресса</w:t>
      </w:r>
    </w:p>
    <w:p w14:paraId="6FF47A5A" w14:textId="77777777" w:rsidR="00E61308" w:rsidRPr="00247EFC" w:rsidRDefault="00E61308" w:rsidP="00E61308">
      <w:pPr>
        <w:pStyle w:val="ac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Наружная реклама</w:t>
      </w:r>
    </w:p>
    <w:p w14:paraId="1106B8B9" w14:textId="77777777" w:rsidR="00E61308" w:rsidRPr="00247EFC" w:rsidRDefault="00E61308" w:rsidP="00E61308">
      <w:pPr>
        <w:pStyle w:val="ac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Интернет</w:t>
      </w:r>
    </w:p>
    <w:p w14:paraId="37D5D8A7" w14:textId="77777777" w:rsidR="002B387D" w:rsidRDefault="002B387D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F3DB2" w14:textId="1CBDC907" w:rsidR="00E61308" w:rsidRPr="00247EFC" w:rsidRDefault="00E61308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Формат: онлайн-конференция</w:t>
      </w:r>
    </w:p>
    <w:p w14:paraId="6A8EA3F6" w14:textId="77777777" w:rsidR="00E61308" w:rsidRPr="00247EFC" w:rsidRDefault="00E61308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Повестка: обсуждение подходов прошлого года, формирование предложений по доработке.</w:t>
      </w:r>
    </w:p>
    <w:p w14:paraId="7D350D73" w14:textId="77777777" w:rsidR="00E61308" w:rsidRPr="00247EFC" w:rsidRDefault="00E61308" w:rsidP="00E61308">
      <w:pPr>
        <w:rPr>
          <w:rFonts w:asciiTheme="minorHAnsi" w:hAnsiTheme="minorHAnsi" w:cstheme="minorHAnsi"/>
        </w:rPr>
      </w:pPr>
    </w:p>
    <w:p w14:paraId="7751E2FE" w14:textId="77777777" w:rsidR="00E61308" w:rsidRPr="00247EFC" w:rsidRDefault="00E61308" w:rsidP="00E61308">
      <w:pPr>
        <w:pStyle w:val="ac"/>
        <w:spacing w:before="0" w:beforeAutospacing="0" w:after="40" w:afterAutospacing="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 этап. Уточнение методологии. </w:t>
      </w:r>
    </w:p>
    <w:p w14:paraId="1B7E31F9" w14:textId="77777777" w:rsidR="00E61308" w:rsidRPr="00247EFC" w:rsidRDefault="00E61308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Время проведения: сентябрь года исследования – февраля следующего года.</w:t>
      </w:r>
    </w:p>
    <w:p w14:paraId="534FCF22" w14:textId="77777777" w:rsidR="00E61308" w:rsidRPr="00247EFC" w:rsidRDefault="00E61308" w:rsidP="00E61308">
      <w:pPr>
        <w:pStyle w:val="a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Предложения, полученные в ходе экспертного обсуждения, выносятся на онлайн-обсуждение в публичном пространстве. Предложения, получившие наибольшую поддержку с точки зрения целесообразности внедрения (существенное влияющие на точность без критического увеличения трудозатрат) ложатся в основу уточненного подхода. </w:t>
      </w:r>
    </w:p>
    <w:p w14:paraId="37CA359A" w14:textId="77777777" w:rsidR="00E61308" w:rsidRPr="00247EFC" w:rsidRDefault="00E61308" w:rsidP="00E61308">
      <w:pPr>
        <w:rPr>
          <w:rFonts w:asciiTheme="minorHAnsi" w:hAnsiTheme="minorHAnsi" w:cstheme="minorHAnsi"/>
        </w:rPr>
      </w:pPr>
    </w:p>
    <w:p w14:paraId="63771E26" w14:textId="77777777" w:rsidR="00E61308" w:rsidRPr="00247EFC" w:rsidRDefault="00E61308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Формат: онлайн-анкетирование.</w:t>
      </w:r>
    </w:p>
    <w:p w14:paraId="6BCC8366" w14:textId="77777777" w:rsidR="00E61308" w:rsidRPr="00247EFC" w:rsidRDefault="00E61308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Повестка: обсуждение целесообразности внедрения поправок.  </w:t>
      </w:r>
    </w:p>
    <w:p w14:paraId="1FD9D9F7" w14:textId="77777777" w:rsidR="00E61308" w:rsidRPr="00247EFC" w:rsidRDefault="00E61308" w:rsidP="00E61308">
      <w:pPr>
        <w:rPr>
          <w:rFonts w:asciiTheme="minorHAnsi" w:hAnsiTheme="minorHAnsi" w:cstheme="minorHAnsi"/>
        </w:rPr>
      </w:pPr>
    </w:p>
    <w:p w14:paraId="038BA097" w14:textId="77777777" w:rsidR="00E61308" w:rsidRPr="00247EFC" w:rsidRDefault="00E61308" w:rsidP="00E61308">
      <w:pPr>
        <w:pStyle w:val="ac"/>
        <w:spacing w:before="0" w:beforeAutospacing="0" w:after="40" w:afterAutospacing="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 этап. Оценка бюджетов </w:t>
      </w:r>
    </w:p>
    <w:p w14:paraId="1E9C7BC0" w14:textId="77777777" w:rsidR="00E61308" w:rsidRPr="00247EFC" w:rsidRDefault="00E61308" w:rsidP="00E61308">
      <w:pPr>
        <w:pStyle w:val="ac"/>
        <w:spacing w:before="0" w:beforeAutospacing="0" w:after="0" w:afterAutospacing="0"/>
        <w:ind w:left="62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3.1. Закупка данных по мониторингу рекламных выходов в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Mediascope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(медийная реклама).</w:t>
      </w:r>
    </w:p>
    <w:p w14:paraId="744445BF" w14:textId="77777777" w:rsidR="00E61308" w:rsidRPr="00247EFC" w:rsidRDefault="00E61308" w:rsidP="00E61308">
      <w:pPr>
        <w:pStyle w:val="ac"/>
        <w:spacing w:before="0" w:beforeAutospacing="0" w:after="0" w:afterAutospacing="0"/>
        <w:ind w:left="62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3.2. Закупка данных по бюджетам на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performance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в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DigitalBudget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3497C9" w14:textId="77777777" w:rsidR="00E61308" w:rsidRPr="00247EFC" w:rsidRDefault="00E61308" w:rsidP="00E61308">
      <w:pPr>
        <w:pStyle w:val="ac"/>
        <w:spacing w:before="0" w:beforeAutospacing="0" w:after="0" w:afterAutospacing="0"/>
        <w:ind w:left="62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3.3. Запрос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баинговых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условий (цен, по которым закупалась реклама в изучаемом году) в крупнейших медийных и интернет-холдингах. </w:t>
      </w:r>
    </w:p>
    <w:p w14:paraId="4EAFED55" w14:textId="77777777" w:rsidR="00E61308" w:rsidRPr="00247EFC" w:rsidRDefault="00E61308" w:rsidP="00E61308">
      <w:pPr>
        <w:pStyle w:val="ac"/>
        <w:spacing w:before="0" w:beforeAutospacing="0" w:after="0" w:afterAutospacing="0"/>
        <w:ind w:left="62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3.4.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Эстимация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бюджетов на основе полученных данных, публикация рейтинга крупнейших рекламодателей.</w:t>
      </w:r>
    </w:p>
    <w:p w14:paraId="4E30C4B3" w14:textId="77777777" w:rsidR="00E61308" w:rsidRPr="00247EFC" w:rsidRDefault="00E61308" w:rsidP="00E61308">
      <w:pPr>
        <w:rPr>
          <w:rFonts w:asciiTheme="minorHAnsi" w:hAnsiTheme="minorHAnsi" w:cstheme="minorHAnsi"/>
        </w:rPr>
      </w:pPr>
    </w:p>
    <w:p w14:paraId="3FF6D34E" w14:textId="77777777" w:rsidR="00E61308" w:rsidRPr="00247EFC" w:rsidRDefault="00E61308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Время проведения: </w:t>
      </w:r>
    </w:p>
    <w:p w14:paraId="7B152DBA" w14:textId="77777777" w:rsidR="00E61308" w:rsidRPr="00247EFC" w:rsidRDefault="00E61308" w:rsidP="00E61308">
      <w:pPr>
        <w:pStyle w:val="ac"/>
        <w:spacing w:before="0" w:beforeAutospacing="0" w:after="0" w:afterAutospacing="0"/>
        <w:ind w:left="1418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3.1.–3.3. Февраль*** </w:t>
      </w:r>
    </w:p>
    <w:p w14:paraId="768822F7" w14:textId="77777777" w:rsidR="00E61308" w:rsidRPr="00247EFC" w:rsidRDefault="00E61308" w:rsidP="00E61308">
      <w:pPr>
        <w:pStyle w:val="ac"/>
        <w:spacing w:before="0" w:beforeAutospacing="0" w:after="0" w:afterAutospacing="0"/>
        <w:ind w:left="1418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3.4.          Март-апрель</w:t>
      </w:r>
    </w:p>
    <w:p w14:paraId="5FB25B3C" w14:textId="77777777" w:rsidR="00E61308" w:rsidRPr="00247EFC" w:rsidRDefault="00E61308" w:rsidP="00E61308">
      <w:pPr>
        <w:pStyle w:val="ac"/>
        <w:spacing w:before="0" w:beforeAutospacing="0" w:after="0" w:afterAutospacing="0"/>
        <w:ind w:left="1418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i/>
          <w:iCs/>
          <w:color w:val="000000"/>
          <w:sz w:val="22"/>
          <w:szCs w:val="22"/>
        </w:rPr>
        <w:t>*** Здесь и далее указывается месяц года, следующего за годом исследования.</w:t>
      </w:r>
    </w:p>
    <w:p w14:paraId="5862F03A" w14:textId="77777777" w:rsidR="00E61308" w:rsidRPr="00247EFC" w:rsidRDefault="00E61308" w:rsidP="00E61308">
      <w:pPr>
        <w:rPr>
          <w:rFonts w:asciiTheme="minorHAnsi" w:hAnsiTheme="minorHAnsi" w:cstheme="minorHAnsi"/>
        </w:rPr>
      </w:pPr>
    </w:p>
    <w:p w14:paraId="66A6BC55" w14:textId="77777777" w:rsidR="00E61308" w:rsidRPr="00247EFC" w:rsidRDefault="00E61308" w:rsidP="00E61308">
      <w:pPr>
        <w:pStyle w:val="ac"/>
        <w:spacing w:before="0" w:beforeAutospacing="0" w:after="40" w:afterAutospacing="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4 этап. Сбор клиентских листов и разбор пересечений</w:t>
      </w:r>
    </w:p>
    <w:p w14:paraId="2593EBDC" w14:textId="77777777" w:rsidR="00E61308" w:rsidRPr="00247EFC" w:rsidRDefault="00E61308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Время проведения: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январь-февраль (не менее шести недель).</w:t>
      </w:r>
    </w:p>
    <w:p w14:paraId="36CC2EBD" w14:textId="77777777" w:rsidR="00E61308" w:rsidRPr="00247EFC" w:rsidRDefault="00E61308" w:rsidP="00E61308">
      <w:pPr>
        <w:pStyle w:val="ac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Агентства через Систему управления вносят информацию о прямых контрактах в изучаемом году. Все контракты, которые в результате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эстимации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могут составить более 5% в обороте агентства, в обязательном порядке сопровождаются документальными подтверждениями (правило пяти процентов).</w:t>
      </w:r>
    </w:p>
    <w:p w14:paraId="5229DE01" w14:textId="77777777" w:rsidR="00E61308" w:rsidRPr="00247EFC" w:rsidRDefault="00E61308" w:rsidP="00E61308">
      <w:pPr>
        <w:pStyle w:val="ac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Если одного клиента в одном медиа и периоде заявляют два или более агентств, всем сторонам пересечения предлагается подтвердить свои заявления документально.</w:t>
      </w:r>
    </w:p>
    <w:p w14:paraId="69EF11EF" w14:textId="77777777" w:rsidR="00E61308" w:rsidRPr="00247EFC" w:rsidRDefault="00E61308" w:rsidP="00E61308">
      <w:pPr>
        <w:pStyle w:val="ac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Документальными подтверждениями могут служить:</w:t>
      </w:r>
    </w:p>
    <w:p w14:paraId="138FDBF0" w14:textId="1070FB95" w:rsidR="00E61308" w:rsidRPr="00247EFC" w:rsidRDefault="00E61308" w:rsidP="00E61308">
      <w:pPr>
        <w:pStyle w:val="ac"/>
        <w:numPr>
          <w:ilvl w:val="0"/>
          <w:numId w:val="21"/>
        </w:numPr>
        <w:spacing w:before="0" w:beforeAutospacing="0" w:after="0" w:afterAutospacing="0"/>
        <w:ind w:left="85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Приложения, акты, договора, если в них фигурирует предмет конфликта: название рекламодателя, название агентства, медиа, период размещения, другие детали (каналы, регионы, типы конструкций, доменные имена и </w:t>
      </w:r>
      <w:proofErr w:type="gram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т.д.</w:t>
      </w:r>
      <w:proofErr w:type="gram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) в количестве не менее одного приложения/акта на 1 месяц сотрудничества со всеми крупнейшими провайдерами инвентаря. </w:t>
      </w:r>
      <w:proofErr w:type="gram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Т.е.</w:t>
      </w:r>
      <w:proofErr w:type="gram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недостаточно разместить </w:t>
      </w:r>
      <w:r w:rsidR="006769FB" w:rsidRPr="00247EFC">
        <w:rPr>
          <w:rFonts w:asciiTheme="minorHAnsi" w:hAnsiTheme="minorHAnsi" w:cstheme="minorHAnsi"/>
          <w:color w:val="000000"/>
          <w:sz w:val="22"/>
          <w:szCs w:val="22"/>
        </w:rPr>
        <w:t>одну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вывеску в одном регионе, чтобы претендовать на бюджет охватной программы.</w:t>
      </w:r>
    </w:p>
    <w:p w14:paraId="10F53F10" w14:textId="77777777" w:rsidR="00E61308" w:rsidRPr="00247EFC" w:rsidRDefault="00E61308" w:rsidP="00E61308">
      <w:pPr>
        <w:pStyle w:val="ac"/>
        <w:numPr>
          <w:ilvl w:val="0"/>
          <w:numId w:val="21"/>
        </w:numPr>
        <w:spacing w:before="0" w:beforeAutospacing="0" w:after="0" w:afterAutospacing="0"/>
        <w:ind w:left="85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Публикации в СМИ (для сетевых контрактов в </w:t>
      </w:r>
      <w:proofErr w:type="gram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т.ч.</w:t>
      </w:r>
      <w:proofErr w:type="gram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иностранных) или в открытых тендерных площадках, если в них фигурирует предмет конфликта: название рекламодателя, название агентства, медиа, период размещения, другие детали (каналы, регионы, типы конструкций, доменные имена и т.д.).</w:t>
      </w:r>
    </w:p>
    <w:p w14:paraId="2B80F71F" w14:textId="77777777" w:rsidR="00E61308" w:rsidRPr="00247EFC" w:rsidRDefault="00E61308" w:rsidP="00E61308">
      <w:pPr>
        <w:rPr>
          <w:rFonts w:asciiTheme="minorHAnsi" w:hAnsiTheme="minorHAnsi" w:cstheme="minorHAnsi"/>
          <w:sz w:val="24"/>
          <w:szCs w:val="24"/>
        </w:rPr>
      </w:pPr>
    </w:p>
    <w:p w14:paraId="0D951D7B" w14:textId="77777777" w:rsidR="00E61308" w:rsidRPr="00247EFC" w:rsidRDefault="00E61308" w:rsidP="00E61308">
      <w:pPr>
        <w:pStyle w:val="ac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Документальными подтверждениями </w:t>
      </w:r>
      <w:r w:rsidRPr="00247EF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не </w:t>
      </w: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могут служить:</w:t>
      </w:r>
    </w:p>
    <w:p w14:paraId="2C98BA85" w14:textId="77777777" w:rsidR="00E61308" w:rsidRPr="00247EFC" w:rsidRDefault="00E61308" w:rsidP="00E61308">
      <w:pPr>
        <w:pStyle w:val="ac"/>
        <w:numPr>
          <w:ilvl w:val="0"/>
          <w:numId w:val="22"/>
        </w:numPr>
        <w:spacing w:before="0" w:beforeAutospacing="0" w:after="0" w:afterAutospacing="0"/>
        <w:ind w:left="85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Письма от клиентов, агентств, медиаселлеров.</w:t>
      </w:r>
    </w:p>
    <w:p w14:paraId="7A385B0D" w14:textId="77777777" w:rsidR="00E61308" w:rsidRPr="00247EFC" w:rsidRDefault="00E61308" w:rsidP="00E61308">
      <w:pPr>
        <w:pStyle w:val="ac"/>
        <w:numPr>
          <w:ilvl w:val="0"/>
          <w:numId w:val="22"/>
        </w:numPr>
        <w:spacing w:before="0" w:beforeAutospacing="0" w:after="0" w:afterAutospacing="0"/>
        <w:ind w:left="85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Договора, подписанные ранее, чем в год рейтинга.</w:t>
      </w:r>
    </w:p>
    <w:p w14:paraId="5F0A00A6" w14:textId="77777777" w:rsidR="00E61308" w:rsidRPr="00247EFC" w:rsidRDefault="00E61308" w:rsidP="00E61308">
      <w:pPr>
        <w:rPr>
          <w:rFonts w:asciiTheme="minorHAnsi" w:hAnsiTheme="minorHAnsi" w:cstheme="minorHAnsi"/>
          <w:sz w:val="24"/>
          <w:szCs w:val="24"/>
        </w:rPr>
      </w:pPr>
    </w:p>
    <w:p w14:paraId="1DC7D51F" w14:textId="77777777" w:rsidR="00E61308" w:rsidRPr="00247EFC" w:rsidRDefault="00E61308" w:rsidP="00E61308">
      <w:pPr>
        <w:pStyle w:val="ac"/>
        <w:spacing w:before="0" w:beforeAutospacing="0" w:after="0" w:afterAutospacing="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Принципы разрешения споров</w:t>
      </w:r>
    </w:p>
    <w:p w14:paraId="7F1EDF98" w14:textId="77777777" w:rsidR="006769FB" w:rsidRPr="00247EFC" w:rsidRDefault="00E61308" w:rsidP="003D7C2C">
      <w:pPr>
        <w:pStyle w:val="ac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Бюджет засчитывается агентствам, предоставившим подтверждающие документы, в равных долях пропорционально количеству претендентов. В случае несогласия с процентами деления бюджета допускается уточнение справедливых пропорций с привлечением клиентской стороны.</w:t>
      </w:r>
    </w:p>
    <w:p w14:paraId="375B6B34" w14:textId="77777777" w:rsidR="006769FB" w:rsidRPr="00247EFC" w:rsidRDefault="00E61308" w:rsidP="00D74B45">
      <w:pPr>
        <w:pStyle w:val="ac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Бюджет засчитывается агентству, предоставившему подтверждающие документы, полностью, если оппоненты не подтвердили свои заявления (документы с их стороны отсутствуют или не соответствуют предмету спора / не раскрывают предмет спора</w:t>
      </w:r>
      <w:r w:rsidR="006769FB" w:rsidRPr="00247EF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769FB"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EA8B94" w14:textId="17F1EE9B" w:rsidR="00E61308" w:rsidRPr="00247EFC" w:rsidRDefault="00E61308" w:rsidP="00D74B45">
      <w:pPr>
        <w:pStyle w:val="ac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EFC">
        <w:rPr>
          <w:rFonts w:asciiTheme="minorHAnsi" w:hAnsiTheme="minorHAnsi" w:cstheme="minorHAnsi"/>
          <w:sz w:val="22"/>
          <w:szCs w:val="22"/>
        </w:rPr>
        <w:t>Если оба агентства не предоставляют документы или предоставляют документы без детализации размещения (не указаны виды медиа и сроки размещения), спорный бюджет не засчитывается ни одному из претендентов. </w:t>
      </w:r>
    </w:p>
    <w:p w14:paraId="21F97D9E" w14:textId="77777777" w:rsidR="00E61308" w:rsidRPr="00247EFC" w:rsidRDefault="00E61308" w:rsidP="00E61308">
      <w:pPr>
        <w:rPr>
          <w:rFonts w:asciiTheme="minorHAnsi" w:hAnsiTheme="minorHAnsi" w:cstheme="minorHAnsi"/>
          <w:sz w:val="24"/>
          <w:szCs w:val="24"/>
        </w:rPr>
      </w:pPr>
    </w:p>
    <w:p w14:paraId="7B54C97F" w14:textId="77777777" w:rsidR="00E61308" w:rsidRPr="00247EFC" w:rsidRDefault="00E61308" w:rsidP="00E61308">
      <w:pPr>
        <w:pStyle w:val="ac"/>
        <w:spacing w:before="0" w:beforeAutospacing="0" w:after="40" w:afterAutospacing="0"/>
        <w:jc w:val="both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 этап. Согласование оценки </w:t>
      </w:r>
    </w:p>
    <w:p w14:paraId="7EC308B1" w14:textId="77777777" w:rsidR="00E61308" w:rsidRPr="00247EFC" w:rsidRDefault="00E61308" w:rsidP="00E61308">
      <w:pPr>
        <w:pStyle w:val="ac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Время проведения: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март-апрель (суммарно не менее трех недель).</w:t>
      </w:r>
    </w:p>
    <w:p w14:paraId="1B315C5F" w14:textId="36FBBA08" w:rsidR="00E61308" w:rsidRPr="00247EFC" w:rsidRDefault="00E61308" w:rsidP="00E61308">
      <w:pPr>
        <w:pStyle w:val="ac"/>
        <w:spacing w:before="0" w:beforeAutospacing="0" w:after="0" w:afterAutospacing="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Агентствам получают на согласование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эстимацию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 оборотов, которая складывается из суммы обслуживаемых ими прямых контрактов. В случае обратной связи в рамках дедлайнов (на это дается не менее недел</w:t>
      </w:r>
      <w:r w:rsidR="006769FB" w:rsidRPr="00247EFC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t>) все комментарии внимательно изучаются. Если комментарии укладываются в контекст подхода, оценка пересматривается и направляется на повторное согласование. Оборот считается согласованным, если в ответ на последнее письмо получено согласие с оценкой или не получено несогласие (письмо оставлено без ответа).</w:t>
      </w:r>
    </w:p>
    <w:p w14:paraId="4FB17BE8" w14:textId="77777777" w:rsidR="00E61308" w:rsidRPr="00247EFC" w:rsidRDefault="00E61308" w:rsidP="00E61308">
      <w:pPr>
        <w:pStyle w:val="ac"/>
        <w:spacing w:before="0" w:beforeAutospacing="0" w:after="0" w:afterAutospacing="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Если агентство не устраивает полученная оценка, оно может заявить о выходе из состава участников рейтинга. В этом случае оно соглашается с тем, что принять участие в новом исследовании оно сможет не раньше, чем через три года после года отказа. </w:t>
      </w:r>
    </w:p>
    <w:p w14:paraId="66EB537D" w14:textId="77777777" w:rsidR="00E61308" w:rsidRPr="00247EFC" w:rsidRDefault="00E61308" w:rsidP="00E61308">
      <w:pPr>
        <w:pStyle w:val="ac"/>
        <w:spacing w:before="0" w:beforeAutospacing="0" w:after="0" w:afterAutospacing="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При повторном отказе от участия агентство исключается из дальнейших исследований без возможности восстановления.</w:t>
      </w:r>
    </w:p>
    <w:p w14:paraId="6CEEC4F0" w14:textId="77777777" w:rsidR="00E61308" w:rsidRPr="00247EFC" w:rsidRDefault="00E61308" w:rsidP="00E61308">
      <w:pPr>
        <w:rPr>
          <w:rFonts w:asciiTheme="minorHAnsi" w:hAnsiTheme="minorHAnsi" w:cstheme="minorHAnsi"/>
        </w:rPr>
      </w:pPr>
    </w:p>
    <w:p w14:paraId="1F0625EC" w14:textId="77777777" w:rsidR="00E61308" w:rsidRPr="00247EFC" w:rsidRDefault="00E61308" w:rsidP="00E61308">
      <w:pPr>
        <w:pStyle w:val="ac"/>
        <w:spacing w:before="0" w:beforeAutospacing="0" w:afterAutospacing="0"/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Дополнительная информация</w:t>
      </w:r>
    </w:p>
    <w:p w14:paraId="49E99697" w14:textId="77777777" w:rsidR="00E61308" w:rsidRPr="00247EFC" w:rsidRDefault="00E61308" w:rsidP="00E61308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AdIndex имеет право запрашивать у агентств подтверждающие документы в отношении контрактов менее 5% в обороте в случае возникновения сомнений в подаваемой информации. </w:t>
      </w:r>
      <w:r w:rsidRPr="00247EFC">
        <w:rPr>
          <w:rFonts w:asciiTheme="minorHAnsi" w:hAnsiTheme="minorHAnsi" w:cstheme="minorHAnsi"/>
          <w:color w:val="000000"/>
          <w:sz w:val="22"/>
          <w:szCs w:val="22"/>
        </w:rPr>
        <w:lastRenderedPageBreak/>
        <w:t>Если агентство не сможет предоставить документальные подтверждения хотя бы по нескольким клиентам из числа запрашиваемых, AdIndex получает право запрашивать подтверждение по любому количеству клиентов на выбор. В случае отсутствия подтверждений по более чем 30% контрактов (количественно) агентство исключается из рейтинга с указанием причины дисквалификации. Восстановление в составе участников рейтинга допускается спустя через три года после года дисквалификации.</w:t>
      </w:r>
    </w:p>
    <w:p w14:paraId="2143001D" w14:textId="77777777" w:rsidR="00E61308" w:rsidRPr="00247EFC" w:rsidRDefault="00E61308" w:rsidP="00E61308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Распределение бюджетов группы по брендам агентств, юридические лица которых не указывают прямо на агентский бренд, производится на усмотрение группы на этапе сбора клиентских листов, и в последующем не пересматривается.</w:t>
      </w:r>
    </w:p>
    <w:p w14:paraId="22682989" w14:textId="77777777" w:rsidR="00E61308" w:rsidRPr="00247EFC" w:rsidRDefault="00E61308" w:rsidP="00E61308">
      <w:pPr>
        <w:pStyle w:val="ac"/>
        <w:numPr>
          <w:ilvl w:val="0"/>
          <w:numId w:val="26"/>
        </w:numPr>
        <w:spacing w:before="0" w:beforeAutospacing="0" w:after="16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>Перераспределение бюджетов между агентствами внутри группы на этапе 5 (согласования оборотов) запрещено.</w:t>
      </w:r>
    </w:p>
    <w:p w14:paraId="110E2DCF" w14:textId="77777777" w:rsidR="00E61308" w:rsidRPr="00247EFC" w:rsidRDefault="00E61308" w:rsidP="00E61308">
      <w:pPr>
        <w:pStyle w:val="ac"/>
        <w:numPr>
          <w:ilvl w:val="0"/>
          <w:numId w:val="26"/>
        </w:numPr>
        <w:spacing w:before="0" w:beforeAutospacing="0" w:after="16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В случае многократных нарушений принципа достоверности подаваемой информации или полного отсутствия обоснований размещений агентства из рейтинга исключаются или включаются с бюджетами, в управлении которыми у составителей нет сомнений (сетевые контракты, контракты на основе открытых тендеров и </w:t>
      </w:r>
      <w:proofErr w:type="gram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т.д.</w:t>
      </w:r>
      <w:proofErr w:type="gramEnd"/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). По этой причине в рейтинге отсутствуют некоторые агентства, которые не смогли подтвердить заявленную информация в рамках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фактчекинга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8002B26" w14:textId="77777777" w:rsidR="00E61308" w:rsidRPr="00247EFC" w:rsidRDefault="00E61308" w:rsidP="00E61308">
      <w:pPr>
        <w:pStyle w:val="ac"/>
        <w:numPr>
          <w:ilvl w:val="0"/>
          <w:numId w:val="26"/>
        </w:numPr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47EFC">
        <w:rPr>
          <w:rFonts w:asciiTheme="minorHAnsi" w:hAnsiTheme="minorHAnsi" w:cstheme="minorHAnsi"/>
          <w:color w:val="000000"/>
          <w:sz w:val="22"/>
          <w:szCs w:val="22"/>
        </w:rPr>
        <w:t xml:space="preserve">С 2020 года </w:t>
      </w:r>
      <w:proofErr w:type="spellStart"/>
      <w:r w:rsidRPr="00247EFC">
        <w:rPr>
          <w:rFonts w:asciiTheme="minorHAnsi" w:hAnsiTheme="minorHAnsi" w:cstheme="minorHAnsi"/>
          <w:color w:val="000000"/>
          <w:sz w:val="22"/>
          <w:szCs w:val="22"/>
        </w:rPr>
        <w:t>копромо</w:t>
      </w:r>
      <w:proofErr w:type="spellEnd"/>
      <w:r w:rsidRPr="00247EFC">
        <w:rPr>
          <w:rFonts w:asciiTheme="minorHAnsi" w:hAnsiTheme="minorHAnsi" w:cstheme="minorHAnsi"/>
          <w:color w:val="000000"/>
          <w:sz w:val="22"/>
          <w:szCs w:val="22"/>
        </w:rPr>
        <w:t>-проекты, в которых участвуют несколько рекламодателей, не засчитываются какому-то одному агентству. Исключение – присутствие всех рекламодателей, участвующих в кампании, в клиентском листе агентства. </w:t>
      </w:r>
    </w:p>
    <w:p w14:paraId="3D12C7C2" w14:textId="485F57B7" w:rsidR="005E1553" w:rsidRPr="00247EFC" w:rsidRDefault="00247EFC" w:rsidP="005E1553">
      <w:pPr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  <w:b/>
          <w:bCs/>
        </w:rPr>
        <w:t>Подробнее о верификации</w:t>
      </w:r>
      <w:r w:rsidR="00E61308" w:rsidRPr="00247EFC">
        <w:rPr>
          <w:rFonts w:asciiTheme="minorHAnsi" w:hAnsiTheme="minorHAnsi" w:cstheme="minorHAnsi"/>
        </w:rPr>
        <w:br/>
      </w:r>
      <w:r w:rsidR="005E1553" w:rsidRPr="00247EFC">
        <w:rPr>
          <w:rFonts w:asciiTheme="minorHAnsi" w:hAnsiTheme="minorHAnsi" w:cstheme="minorHAnsi"/>
        </w:rPr>
        <w:t>Оценка биллингов агентств</w:t>
      </w:r>
      <w:r w:rsidR="00434237" w:rsidRPr="00247EFC">
        <w:rPr>
          <w:rFonts w:asciiTheme="minorHAnsi" w:hAnsiTheme="minorHAnsi" w:cstheme="minorHAnsi"/>
        </w:rPr>
        <w:t xml:space="preserve"> </w:t>
      </w:r>
      <w:r w:rsidR="00E61308" w:rsidRPr="00247EFC">
        <w:rPr>
          <w:rFonts w:asciiTheme="minorHAnsi" w:hAnsiTheme="minorHAnsi" w:cstheme="minorHAnsi"/>
        </w:rPr>
        <w:t>проходит</w:t>
      </w:r>
      <w:r w:rsidR="005E1553" w:rsidRPr="00247EFC">
        <w:rPr>
          <w:rFonts w:asciiTheme="minorHAnsi" w:hAnsiTheme="minorHAnsi" w:cstheme="minorHAnsi"/>
        </w:rPr>
        <w:t xml:space="preserve"> многоступенчатую верификацию с целью исключения искусственного завышения показателей</w:t>
      </w:r>
      <w:r w:rsidR="007B3898" w:rsidRPr="00247EFC">
        <w:rPr>
          <w:rFonts w:asciiTheme="minorHAnsi" w:hAnsiTheme="minorHAnsi" w:cstheme="minorHAnsi"/>
        </w:rPr>
        <w:t>.</w:t>
      </w:r>
    </w:p>
    <w:p w14:paraId="148640FC" w14:textId="79F7DD18" w:rsidR="007B3898" w:rsidRPr="00247EFC" w:rsidRDefault="007B3898" w:rsidP="005E1553">
      <w:pPr>
        <w:rPr>
          <w:rFonts w:asciiTheme="minorHAnsi" w:hAnsiTheme="minorHAnsi" w:cstheme="minorHAnsi"/>
          <w:b/>
          <w:bCs/>
        </w:rPr>
      </w:pPr>
      <w:r w:rsidRPr="00247EFC">
        <w:rPr>
          <w:rFonts w:asciiTheme="minorHAnsi" w:hAnsiTheme="minorHAnsi" w:cstheme="minorHAnsi"/>
          <w:b/>
          <w:bCs/>
        </w:rPr>
        <w:t>Регламент верификации</w:t>
      </w:r>
    </w:p>
    <w:p w14:paraId="7D77BF69" w14:textId="77777777" w:rsidR="005E1553" w:rsidRPr="00247EFC" w:rsidRDefault="005E1553" w:rsidP="005E1553">
      <w:pPr>
        <w:pStyle w:val="a3"/>
        <w:numPr>
          <w:ilvl w:val="0"/>
          <w:numId w:val="12"/>
        </w:numPr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</w:rPr>
        <w:t>Биллинги агентств</w:t>
      </w:r>
      <w:r w:rsidR="002534F1" w:rsidRPr="00247EFC">
        <w:rPr>
          <w:rFonts w:asciiTheme="minorHAnsi" w:hAnsiTheme="minorHAnsi" w:cstheme="minorHAnsi"/>
        </w:rPr>
        <w:t>-</w:t>
      </w:r>
      <w:proofErr w:type="spellStart"/>
      <w:r w:rsidR="002534F1" w:rsidRPr="00247EFC">
        <w:rPr>
          <w:rFonts w:asciiTheme="minorHAnsi" w:hAnsiTheme="minorHAnsi" w:cstheme="minorHAnsi"/>
        </w:rPr>
        <w:t>контракторов</w:t>
      </w:r>
      <w:proofErr w:type="spellEnd"/>
      <w:r w:rsidRPr="00247EFC">
        <w:rPr>
          <w:rFonts w:asciiTheme="minorHAnsi" w:hAnsiTheme="minorHAnsi" w:cstheme="minorHAnsi"/>
        </w:rPr>
        <w:t xml:space="preserve"> включают только те бюджеты, которые приходят напрямую от клиента. Таким образом, если агентство А передает бюджет на обслуживание (</w:t>
      </w:r>
      <w:proofErr w:type="spellStart"/>
      <w:r w:rsidRPr="00247EFC">
        <w:rPr>
          <w:rFonts w:asciiTheme="minorHAnsi" w:hAnsiTheme="minorHAnsi" w:cstheme="minorHAnsi"/>
        </w:rPr>
        <w:t>баинг</w:t>
      </w:r>
      <w:proofErr w:type="spellEnd"/>
      <w:r w:rsidRPr="00247EFC">
        <w:rPr>
          <w:rFonts w:asciiTheme="minorHAnsi" w:hAnsiTheme="minorHAnsi" w:cstheme="minorHAnsi"/>
        </w:rPr>
        <w:t xml:space="preserve">) в агентство В, бюджет засчитывается агентству А. </w:t>
      </w:r>
    </w:p>
    <w:p w14:paraId="75F7245D" w14:textId="091A73BC" w:rsidR="005E1553" w:rsidRPr="00247EFC" w:rsidRDefault="005E1553" w:rsidP="005E1553">
      <w:pPr>
        <w:pStyle w:val="a3"/>
        <w:numPr>
          <w:ilvl w:val="0"/>
          <w:numId w:val="12"/>
        </w:numPr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</w:rPr>
        <w:t xml:space="preserve">В исследовании не допускается объединение показателей нескольких компаний в агентском рейтинге. В рамках </w:t>
      </w:r>
      <w:proofErr w:type="spellStart"/>
      <w:r w:rsidRPr="00247EFC">
        <w:rPr>
          <w:rFonts w:asciiTheme="minorHAnsi" w:hAnsiTheme="minorHAnsi" w:cstheme="minorHAnsi"/>
        </w:rPr>
        <w:t>фактчекинга</w:t>
      </w:r>
      <w:proofErr w:type="spellEnd"/>
      <w:r w:rsidRPr="00247EFC">
        <w:rPr>
          <w:rFonts w:asciiTheme="minorHAnsi" w:hAnsiTheme="minorHAnsi" w:cstheme="minorHAnsi"/>
        </w:rPr>
        <w:t xml:space="preserve"> </w:t>
      </w:r>
      <w:r w:rsidR="002534F1" w:rsidRPr="00247EFC">
        <w:rPr>
          <w:rFonts w:asciiTheme="minorHAnsi" w:hAnsiTheme="minorHAnsi" w:cstheme="minorHAnsi"/>
        </w:rPr>
        <w:t>проводи</w:t>
      </w:r>
      <w:r w:rsidR="006769FB" w:rsidRPr="00247EFC">
        <w:rPr>
          <w:rFonts w:asciiTheme="minorHAnsi" w:hAnsiTheme="minorHAnsi" w:cstheme="minorHAnsi"/>
        </w:rPr>
        <w:t>тся</w:t>
      </w:r>
      <w:r w:rsidRPr="00247EFC">
        <w:rPr>
          <w:rFonts w:asciiTheme="minorHAnsi" w:hAnsiTheme="minorHAnsi" w:cstheme="minorHAnsi"/>
        </w:rPr>
        <w:t xml:space="preserve"> проверка достоверности заявленных данных для исключения попыток «накачивания» показателей отдельных агентств группы для повышения его позиции в рейтинге. </w:t>
      </w:r>
    </w:p>
    <w:p w14:paraId="253B027E" w14:textId="77777777" w:rsidR="00434237" w:rsidRPr="00247EFC" w:rsidRDefault="00434237" w:rsidP="00434237">
      <w:pPr>
        <w:pStyle w:val="a3"/>
        <w:numPr>
          <w:ilvl w:val="0"/>
          <w:numId w:val="12"/>
        </w:numPr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</w:rPr>
        <w:t xml:space="preserve">При отсутствии у агентств юрлица или при получении контракта на группу решение о включении бюджета в оборот того или иного агентства принимается группой до момента </w:t>
      </w:r>
      <w:proofErr w:type="spellStart"/>
      <w:r w:rsidRPr="00247EFC">
        <w:rPr>
          <w:rFonts w:asciiTheme="minorHAnsi" w:hAnsiTheme="minorHAnsi" w:cstheme="minorHAnsi"/>
        </w:rPr>
        <w:t>эстимации</w:t>
      </w:r>
      <w:proofErr w:type="spellEnd"/>
      <w:r w:rsidRPr="00247EFC">
        <w:rPr>
          <w:rFonts w:asciiTheme="minorHAnsi" w:hAnsiTheme="minorHAnsi" w:cstheme="minorHAnsi"/>
        </w:rPr>
        <w:t xml:space="preserve"> и в дальнейшем не пересматривается. </w:t>
      </w:r>
    </w:p>
    <w:p w14:paraId="420BE7B4" w14:textId="3612381B" w:rsidR="0009519A" w:rsidRPr="00247EFC" w:rsidRDefault="005E1553" w:rsidP="005E1553">
      <w:pPr>
        <w:pStyle w:val="a3"/>
        <w:numPr>
          <w:ilvl w:val="0"/>
          <w:numId w:val="12"/>
        </w:numPr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</w:rPr>
        <w:t>В исследовании не допускается включение в рейтинг компаний, заявляемых искусственно для попадания в рейтинг групп</w:t>
      </w:r>
      <w:r w:rsidR="001C256F" w:rsidRPr="00247EFC">
        <w:rPr>
          <w:rFonts w:asciiTheme="minorHAnsi" w:hAnsiTheme="minorHAnsi" w:cstheme="minorHAnsi"/>
        </w:rPr>
        <w:t>.</w:t>
      </w:r>
    </w:p>
    <w:p w14:paraId="70621193" w14:textId="77777777" w:rsidR="007B3898" w:rsidRPr="00247EFC" w:rsidRDefault="007B3898" w:rsidP="007B3898">
      <w:pPr>
        <w:pStyle w:val="a3"/>
        <w:numPr>
          <w:ilvl w:val="0"/>
          <w:numId w:val="12"/>
        </w:numPr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</w:rPr>
        <w:t xml:space="preserve">В рамках </w:t>
      </w:r>
      <w:proofErr w:type="spellStart"/>
      <w:r w:rsidRPr="00247EFC">
        <w:rPr>
          <w:rFonts w:asciiTheme="minorHAnsi" w:hAnsiTheme="minorHAnsi" w:cstheme="minorHAnsi"/>
        </w:rPr>
        <w:t>фактчекинга</w:t>
      </w:r>
      <w:proofErr w:type="spellEnd"/>
      <w:r w:rsidRPr="00247EFC">
        <w:rPr>
          <w:rFonts w:asciiTheme="minorHAnsi" w:hAnsiTheme="minorHAnsi" w:cstheme="minorHAnsi"/>
        </w:rPr>
        <w:t xml:space="preserve"> подтверждению подлежали все контракты, вклад которых в оборот агентства состав</w:t>
      </w:r>
      <w:r w:rsidR="00476866" w:rsidRPr="00247EFC">
        <w:rPr>
          <w:rFonts w:asciiTheme="minorHAnsi" w:hAnsiTheme="minorHAnsi" w:cstheme="minorHAnsi"/>
        </w:rPr>
        <w:t>ил</w:t>
      </w:r>
      <w:r w:rsidRPr="00247EFC">
        <w:rPr>
          <w:rFonts w:asciiTheme="minorHAnsi" w:hAnsiTheme="minorHAnsi" w:cstheme="minorHAnsi"/>
        </w:rPr>
        <w:t xml:space="preserve"> более 5%. Исключение – сетевые контракты, контракты, полученные в ходе публичных тендеров, а также бюджеты, подтвержденные публикациями в СМИ.</w:t>
      </w:r>
    </w:p>
    <w:p w14:paraId="7D491D60" w14:textId="4D208B97" w:rsidR="00C41E2A" w:rsidRDefault="00C41E2A" w:rsidP="00C41E2A">
      <w:pPr>
        <w:pStyle w:val="a3"/>
        <w:numPr>
          <w:ilvl w:val="0"/>
          <w:numId w:val="12"/>
        </w:numPr>
        <w:rPr>
          <w:rFonts w:asciiTheme="minorHAnsi" w:hAnsiTheme="minorHAnsi" w:cstheme="minorHAnsi"/>
        </w:rPr>
      </w:pPr>
      <w:r w:rsidRPr="00247EFC">
        <w:rPr>
          <w:rFonts w:asciiTheme="minorHAnsi" w:hAnsiTheme="minorHAnsi" w:cstheme="minorHAnsi"/>
        </w:rPr>
        <w:t>Если</w:t>
      </w:r>
      <w:r w:rsidR="007B3898" w:rsidRPr="00247EFC">
        <w:rPr>
          <w:rFonts w:asciiTheme="minorHAnsi" w:hAnsiTheme="minorHAnsi" w:cstheme="minorHAnsi"/>
        </w:rPr>
        <w:t xml:space="preserve"> </w:t>
      </w:r>
      <w:r w:rsidRPr="00247EFC">
        <w:rPr>
          <w:rFonts w:asciiTheme="minorHAnsi" w:hAnsiTheme="minorHAnsi" w:cstheme="minorHAnsi"/>
        </w:rPr>
        <w:t xml:space="preserve">агентство не </w:t>
      </w:r>
      <w:r w:rsidR="00476866" w:rsidRPr="00247EFC">
        <w:rPr>
          <w:rFonts w:asciiTheme="minorHAnsi" w:hAnsiTheme="minorHAnsi" w:cstheme="minorHAnsi"/>
        </w:rPr>
        <w:t>могло</w:t>
      </w:r>
      <w:r w:rsidRPr="00247EFC">
        <w:rPr>
          <w:rFonts w:asciiTheme="minorHAnsi" w:hAnsiTheme="minorHAnsi" w:cstheme="minorHAnsi"/>
        </w:rPr>
        <w:t xml:space="preserve"> предоставить документальные подтверждения по двум и более клиентам из числа запрашиваемых</w:t>
      </w:r>
      <w:r w:rsidR="007B3898" w:rsidRPr="00247EFC">
        <w:rPr>
          <w:rFonts w:asciiTheme="minorHAnsi" w:hAnsiTheme="minorHAnsi" w:cstheme="minorHAnsi"/>
        </w:rPr>
        <w:t xml:space="preserve">, </w:t>
      </w:r>
      <w:r w:rsidRPr="00247EFC">
        <w:rPr>
          <w:rFonts w:asciiTheme="minorHAnsi" w:hAnsiTheme="minorHAnsi" w:cstheme="minorHAnsi"/>
        </w:rPr>
        <w:t>проводи</w:t>
      </w:r>
      <w:r w:rsidR="00476866" w:rsidRPr="00247EFC">
        <w:rPr>
          <w:rFonts w:asciiTheme="minorHAnsi" w:hAnsiTheme="minorHAnsi" w:cstheme="minorHAnsi"/>
        </w:rPr>
        <w:t xml:space="preserve">лась </w:t>
      </w:r>
      <w:r w:rsidR="007B3898" w:rsidRPr="00247EFC">
        <w:rPr>
          <w:rFonts w:asciiTheme="minorHAnsi" w:hAnsiTheme="minorHAnsi" w:cstheme="minorHAnsi"/>
        </w:rPr>
        <w:t>полн</w:t>
      </w:r>
      <w:r w:rsidRPr="00247EFC">
        <w:rPr>
          <w:rFonts w:asciiTheme="minorHAnsi" w:hAnsiTheme="minorHAnsi" w:cstheme="minorHAnsi"/>
        </w:rPr>
        <w:t>ая</w:t>
      </w:r>
      <w:r w:rsidR="007B3898" w:rsidRPr="00247EFC">
        <w:rPr>
          <w:rFonts w:asciiTheme="minorHAnsi" w:hAnsiTheme="minorHAnsi" w:cstheme="minorHAnsi"/>
        </w:rPr>
        <w:t xml:space="preserve"> проверк</w:t>
      </w:r>
      <w:r w:rsidRPr="00247EFC">
        <w:rPr>
          <w:rFonts w:asciiTheme="minorHAnsi" w:hAnsiTheme="minorHAnsi" w:cstheme="minorHAnsi"/>
        </w:rPr>
        <w:t>а</w:t>
      </w:r>
      <w:r w:rsidR="007B3898" w:rsidRPr="00247EFC">
        <w:rPr>
          <w:rFonts w:asciiTheme="minorHAnsi" w:hAnsiTheme="minorHAnsi" w:cstheme="minorHAnsi"/>
        </w:rPr>
        <w:t xml:space="preserve"> всех заявленных контрактов.</w:t>
      </w:r>
    </w:p>
    <w:p w14:paraId="7497FF89" w14:textId="36CB6349" w:rsidR="0026779F" w:rsidRPr="00247EFC" w:rsidRDefault="0026779F" w:rsidP="0026779F">
      <w:pPr>
        <w:pStyle w:val="a3"/>
        <w:ind w:left="709" w:hanging="425"/>
        <w:rPr>
          <w:rFonts w:asciiTheme="minorHAnsi" w:hAnsiTheme="minorHAnsi" w:cstheme="minorHAnsi"/>
        </w:rPr>
      </w:pPr>
      <w:r w:rsidRPr="0026779F">
        <w:rPr>
          <w:rFonts w:asciiTheme="minorHAnsi" w:hAnsiTheme="minorHAnsi" w:cstheme="minorHAnsi"/>
        </w:rPr>
        <w:t xml:space="preserve">7.       Если агентство не подтверждало сотрудничество с </w:t>
      </w:r>
      <w:proofErr w:type="spellStart"/>
      <w:r w:rsidRPr="0026779F">
        <w:rPr>
          <w:rFonts w:asciiTheme="minorHAnsi" w:hAnsiTheme="minorHAnsi" w:cstheme="minorHAnsi"/>
        </w:rPr>
        <w:t>портфелеобразующими</w:t>
      </w:r>
      <w:proofErr w:type="spellEnd"/>
      <w:r w:rsidRPr="0026779F">
        <w:rPr>
          <w:rFonts w:asciiTheme="minorHAnsi" w:hAnsiTheme="minorHAnsi" w:cstheme="minorHAnsi"/>
        </w:rPr>
        <w:t xml:space="preserve"> и конфликтными клиентами, оно не включалось в рейтинг. По этой причине в публикацию не вошло, к примеру, агентство </w:t>
      </w:r>
      <w:proofErr w:type="spellStart"/>
      <w:r w:rsidRPr="0026779F">
        <w:rPr>
          <w:rFonts w:asciiTheme="minorHAnsi" w:hAnsiTheme="minorHAnsi" w:cstheme="minorHAnsi"/>
        </w:rPr>
        <w:t>MGCom</w:t>
      </w:r>
      <w:proofErr w:type="spellEnd"/>
      <w:r w:rsidRPr="0026779F">
        <w:rPr>
          <w:rFonts w:asciiTheme="minorHAnsi" w:hAnsiTheme="minorHAnsi" w:cstheme="minorHAnsi"/>
        </w:rPr>
        <w:t>, в достоверности оценки оборота которого AdIndex не удалось убедиться.</w:t>
      </w:r>
    </w:p>
    <w:sectPr w:rsidR="0026779F" w:rsidRPr="00247EFC" w:rsidSect="000E2FD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38BD" w14:textId="77777777" w:rsidR="005273A7" w:rsidRDefault="005273A7" w:rsidP="00E61308">
      <w:pPr>
        <w:spacing w:after="0" w:line="240" w:lineRule="auto"/>
      </w:pPr>
      <w:r>
        <w:separator/>
      </w:r>
    </w:p>
  </w:endnote>
  <w:endnote w:type="continuationSeparator" w:id="0">
    <w:p w14:paraId="041A1A75" w14:textId="77777777" w:rsidR="005273A7" w:rsidRDefault="005273A7" w:rsidP="00E6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BDD1" w14:textId="77777777" w:rsidR="005273A7" w:rsidRDefault="005273A7" w:rsidP="00E61308">
      <w:pPr>
        <w:spacing w:after="0" w:line="240" w:lineRule="auto"/>
      </w:pPr>
      <w:r>
        <w:separator/>
      </w:r>
    </w:p>
  </w:footnote>
  <w:footnote w:type="continuationSeparator" w:id="0">
    <w:p w14:paraId="1C3D0D56" w14:textId="77777777" w:rsidR="005273A7" w:rsidRDefault="005273A7" w:rsidP="00E6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500"/>
    <w:multiLevelType w:val="multilevel"/>
    <w:tmpl w:val="201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B85"/>
    <w:multiLevelType w:val="multilevel"/>
    <w:tmpl w:val="87D6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538BD"/>
    <w:multiLevelType w:val="hybridMultilevel"/>
    <w:tmpl w:val="3C9A45FC"/>
    <w:lvl w:ilvl="0" w:tplc="5F06D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211E3"/>
    <w:multiLevelType w:val="multilevel"/>
    <w:tmpl w:val="D68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50C20"/>
    <w:multiLevelType w:val="hybridMultilevel"/>
    <w:tmpl w:val="1DB037BC"/>
    <w:lvl w:ilvl="0" w:tplc="1E342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F5950"/>
    <w:multiLevelType w:val="hybridMultilevel"/>
    <w:tmpl w:val="91A4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474"/>
    <w:multiLevelType w:val="multilevel"/>
    <w:tmpl w:val="70A6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A4AEA"/>
    <w:multiLevelType w:val="hybridMultilevel"/>
    <w:tmpl w:val="7F8CA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556288"/>
    <w:multiLevelType w:val="hybridMultilevel"/>
    <w:tmpl w:val="90C8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C0C25"/>
    <w:multiLevelType w:val="multilevel"/>
    <w:tmpl w:val="12EE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E5489"/>
    <w:multiLevelType w:val="hybridMultilevel"/>
    <w:tmpl w:val="39C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37BAD"/>
    <w:multiLevelType w:val="multilevel"/>
    <w:tmpl w:val="E11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E6B98"/>
    <w:multiLevelType w:val="multilevel"/>
    <w:tmpl w:val="F08C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31B9F"/>
    <w:multiLevelType w:val="hybridMultilevel"/>
    <w:tmpl w:val="E3C0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510C9"/>
    <w:multiLevelType w:val="multilevel"/>
    <w:tmpl w:val="5C7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C0364"/>
    <w:multiLevelType w:val="hybridMultilevel"/>
    <w:tmpl w:val="8A7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675D3"/>
    <w:multiLevelType w:val="hybridMultilevel"/>
    <w:tmpl w:val="2A8A5116"/>
    <w:lvl w:ilvl="0" w:tplc="2B98E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7372CC"/>
    <w:multiLevelType w:val="hybridMultilevel"/>
    <w:tmpl w:val="7C5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5596D"/>
    <w:multiLevelType w:val="multilevel"/>
    <w:tmpl w:val="F8E8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04541B"/>
    <w:multiLevelType w:val="hybridMultilevel"/>
    <w:tmpl w:val="97146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EB6A0F"/>
    <w:multiLevelType w:val="multilevel"/>
    <w:tmpl w:val="15F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76CF5"/>
    <w:multiLevelType w:val="hybridMultilevel"/>
    <w:tmpl w:val="A28C7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0C558C"/>
    <w:multiLevelType w:val="multilevel"/>
    <w:tmpl w:val="3744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7D54BD"/>
    <w:multiLevelType w:val="hybridMultilevel"/>
    <w:tmpl w:val="39C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42A30"/>
    <w:multiLevelType w:val="hybridMultilevel"/>
    <w:tmpl w:val="5A9E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E502B"/>
    <w:multiLevelType w:val="multilevel"/>
    <w:tmpl w:val="9BB2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7"/>
  </w:num>
  <w:num w:numId="5">
    <w:abstractNumId w:val="16"/>
  </w:num>
  <w:num w:numId="6">
    <w:abstractNumId w:val="21"/>
  </w:num>
  <w:num w:numId="7">
    <w:abstractNumId w:val="15"/>
  </w:num>
  <w:num w:numId="8">
    <w:abstractNumId w:val="7"/>
  </w:num>
  <w:num w:numId="9">
    <w:abstractNumId w:val="24"/>
  </w:num>
  <w:num w:numId="10">
    <w:abstractNumId w:val="19"/>
  </w:num>
  <w:num w:numId="11">
    <w:abstractNumId w:val="8"/>
  </w:num>
  <w:num w:numId="12">
    <w:abstractNumId w:val="1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"/>
  </w:num>
  <w:num w:numId="17">
    <w:abstractNumId w:val="25"/>
  </w:num>
  <w:num w:numId="18">
    <w:abstractNumId w:val="6"/>
  </w:num>
  <w:num w:numId="19">
    <w:abstractNumId w:val="0"/>
  </w:num>
  <w:num w:numId="20">
    <w:abstractNumId w:val="11"/>
  </w:num>
  <w:num w:numId="21">
    <w:abstractNumId w:val="22"/>
  </w:num>
  <w:num w:numId="22">
    <w:abstractNumId w:val="3"/>
  </w:num>
  <w:num w:numId="23">
    <w:abstractNumId w:val="18"/>
  </w:num>
  <w:num w:numId="24">
    <w:abstractNumId w:val="20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53"/>
    <w:rsid w:val="000405D4"/>
    <w:rsid w:val="00053CA6"/>
    <w:rsid w:val="00063248"/>
    <w:rsid w:val="0009519A"/>
    <w:rsid w:val="000D04D6"/>
    <w:rsid w:val="000D1FDA"/>
    <w:rsid w:val="000D2EE2"/>
    <w:rsid w:val="000E2FDD"/>
    <w:rsid w:val="00111AC5"/>
    <w:rsid w:val="00195EBD"/>
    <w:rsid w:val="001A70F6"/>
    <w:rsid w:val="001C256F"/>
    <w:rsid w:val="001C307B"/>
    <w:rsid w:val="001F315B"/>
    <w:rsid w:val="001F4654"/>
    <w:rsid w:val="00247EFC"/>
    <w:rsid w:val="00251FAE"/>
    <w:rsid w:val="002534F1"/>
    <w:rsid w:val="0026779F"/>
    <w:rsid w:val="002B387D"/>
    <w:rsid w:val="002E5FED"/>
    <w:rsid w:val="0030317A"/>
    <w:rsid w:val="0035645D"/>
    <w:rsid w:val="00361E87"/>
    <w:rsid w:val="003C2FEB"/>
    <w:rsid w:val="003D53C7"/>
    <w:rsid w:val="00406A03"/>
    <w:rsid w:val="00434237"/>
    <w:rsid w:val="004608BF"/>
    <w:rsid w:val="004623CD"/>
    <w:rsid w:val="00476866"/>
    <w:rsid w:val="004A6DC2"/>
    <w:rsid w:val="004F3158"/>
    <w:rsid w:val="00516A38"/>
    <w:rsid w:val="005273A7"/>
    <w:rsid w:val="00575A72"/>
    <w:rsid w:val="00586EF7"/>
    <w:rsid w:val="005C6C6B"/>
    <w:rsid w:val="005E1553"/>
    <w:rsid w:val="005E5FE8"/>
    <w:rsid w:val="005F4ECC"/>
    <w:rsid w:val="006267ED"/>
    <w:rsid w:val="006769FB"/>
    <w:rsid w:val="0068027C"/>
    <w:rsid w:val="006A2F1D"/>
    <w:rsid w:val="006D709D"/>
    <w:rsid w:val="006F1194"/>
    <w:rsid w:val="0073573A"/>
    <w:rsid w:val="007B3898"/>
    <w:rsid w:val="007C0778"/>
    <w:rsid w:val="007D5F3F"/>
    <w:rsid w:val="008B1145"/>
    <w:rsid w:val="008D456E"/>
    <w:rsid w:val="008E5FFE"/>
    <w:rsid w:val="00933735"/>
    <w:rsid w:val="009365E5"/>
    <w:rsid w:val="0099578F"/>
    <w:rsid w:val="009B4DFB"/>
    <w:rsid w:val="009D4062"/>
    <w:rsid w:val="009D6FED"/>
    <w:rsid w:val="00A569BB"/>
    <w:rsid w:val="00A7610C"/>
    <w:rsid w:val="00A87960"/>
    <w:rsid w:val="00B65C41"/>
    <w:rsid w:val="00B665A5"/>
    <w:rsid w:val="00BC4B75"/>
    <w:rsid w:val="00C24BC2"/>
    <w:rsid w:val="00C41E2A"/>
    <w:rsid w:val="00C568D2"/>
    <w:rsid w:val="00CE7BD8"/>
    <w:rsid w:val="00D064D4"/>
    <w:rsid w:val="00DC33F4"/>
    <w:rsid w:val="00E10E7F"/>
    <w:rsid w:val="00E226B3"/>
    <w:rsid w:val="00E6009C"/>
    <w:rsid w:val="00E61308"/>
    <w:rsid w:val="00EB08FF"/>
    <w:rsid w:val="00EC0E43"/>
    <w:rsid w:val="00FD44E8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EF69"/>
  <w15:chartTrackingRefBased/>
  <w15:docId w15:val="{1C0524EB-1455-4FDC-B009-2CF8664F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5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53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5E1553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5E1553"/>
    <w:rPr>
      <w:b/>
      <w:bCs/>
      <w:i/>
      <w:iCs/>
      <w:color w:val="4472C4" w:themeColor="accent1"/>
    </w:rPr>
  </w:style>
  <w:style w:type="character" w:styleId="a6">
    <w:name w:val="Hyperlink"/>
    <w:basedOn w:val="a0"/>
    <w:uiPriority w:val="99"/>
    <w:unhideWhenUsed/>
    <w:rsid w:val="0047686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064D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C3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6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130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6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1308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E61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5104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ndex.ru/ratings/marketing/2021/1654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Пустовит</dc:creator>
  <cp:keywords/>
  <dc:description/>
  <cp:lastModifiedBy>Ирина Пустовит</cp:lastModifiedBy>
  <cp:revision>8</cp:revision>
  <dcterms:created xsi:type="dcterms:W3CDTF">2021-05-14T13:00:00Z</dcterms:created>
  <dcterms:modified xsi:type="dcterms:W3CDTF">2021-06-22T17:04:00Z</dcterms:modified>
</cp:coreProperties>
</file>