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F" w:rsidRPr="001462E3" w:rsidRDefault="00CF2A9F" w:rsidP="00CF2A9F">
      <w:pPr>
        <w:rPr>
          <w:b/>
          <w:sz w:val="24"/>
        </w:rPr>
      </w:pPr>
      <w:r w:rsidRPr="00146A8D">
        <w:rPr>
          <w:b/>
          <w:sz w:val="24"/>
        </w:rPr>
        <w:t xml:space="preserve">РЕЙТИНГ ФЕДЕРАЛЬНЫХ ПРОВАЙДЕРОВ </w:t>
      </w:r>
      <w:r>
        <w:rPr>
          <w:b/>
          <w:sz w:val="24"/>
          <w:lang w:val="en-US"/>
        </w:rPr>
        <w:t>OOH</w:t>
      </w:r>
      <w:r w:rsidRPr="00B277BF">
        <w:rPr>
          <w:b/>
          <w:sz w:val="24"/>
        </w:rPr>
        <w:t xml:space="preserve">- </w:t>
      </w:r>
      <w:r>
        <w:rPr>
          <w:b/>
          <w:sz w:val="24"/>
        </w:rPr>
        <w:t xml:space="preserve">И </w:t>
      </w:r>
      <w:r w:rsidRPr="00146A8D">
        <w:rPr>
          <w:b/>
          <w:sz w:val="24"/>
          <w:lang w:val="en-US"/>
        </w:rPr>
        <w:t>INDOOR</w:t>
      </w:r>
      <w:r w:rsidRPr="00146A8D">
        <w:rPr>
          <w:b/>
          <w:sz w:val="24"/>
        </w:rPr>
        <w:t>-</w:t>
      </w:r>
      <w:r>
        <w:rPr>
          <w:b/>
          <w:sz w:val="24"/>
        </w:rPr>
        <w:t>РЕКЛАМЫ 2017</w:t>
      </w:r>
    </w:p>
    <w:p w:rsidR="00CF2A9F" w:rsidRDefault="00CF2A9F" w:rsidP="00CF2A9F">
      <w:pPr>
        <w:rPr>
          <w:b/>
        </w:rPr>
      </w:pPr>
      <w:r w:rsidRPr="002558B6">
        <w:rPr>
          <w:b/>
        </w:rPr>
        <w:t>О ПРОЕКТЕ</w:t>
      </w:r>
    </w:p>
    <w:p w:rsidR="00CF2A9F" w:rsidRPr="002558B6" w:rsidRDefault="00CF2A9F" w:rsidP="00CF2A9F">
      <w:r>
        <w:rPr>
          <w:rFonts w:cs="Arial"/>
          <w:color w:val="000000"/>
          <w:shd w:val="clear" w:color="auto" w:fill="FFFFFF"/>
        </w:rPr>
        <w:t>Изучение</w:t>
      </w:r>
      <w:r w:rsidRPr="00003099">
        <w:rPr>
          <w:rFonts w:cs="Arial"/>
          <w:color w:val="000000"/>
          <w:shd w:val="clear" w:color="auto" w:fill="FFFFFF"/>
        </w:rPr>
        <w:t xml:space="preserve"> рынка </w:t>
      </w:r>
      <w:r>
        <w:rPr>
          <w:lang w:val="en-US"/>
        </w:rPr>
        <w:t>OOH</w:t>
      </w:r>
      <w:r w:rsidRPr="00003099">
        <w:t xml:space="preserve">-закупок проведено по уточненной и дополненной методике </w:t>
      </w:r>
      <w:hyperlink r:id="rId9" w:history="1">
        <w:r w:rsidRPr="00715E2F">
          <w:rPr>
            <w:rStyle w:val="ac"/>
            <w:color w:val="0070C0"/>
          </w:rPr>
          <w:t xml:space="preserve">рейтинга </w:t>
        </w:r>
        <w:r w:rsidRPr="00715E2F">
          <w:rPr>
            <w:rStyle w:val="ac"/>
            <w:color w:val="0070C0"/>
            <w:lang w:val="en-US"/>
          </w:rPr>
          <w:t>indoor</w:t>
        </w:r>
        <w:r w:rsidRPr="00715E2F">
          <w:rPr>
            <w:rStyle w:val="ac"/>
            <w:color w:val="0070C0"/>
          </w:rPr>
          <w:t>-операторов 2015 года</w:t>
        </w:r>
      </w:hyperlink>
      <w:r w:rsidRPr="00715E2F">
        <w:rPr>
          <w:color w:val="0070C0"/>
        </w:rPr>
        <w:t xml:space="preserve">. </w:t>
      </w:r>
      <w:r w:rsidR="00981574" w:rsidRPr="00981574">
        <w:t>И</w:t>
      </w:r>
      <w:r>
        <w:t>сследование охвати</w:t>
      </w:r>
      <w:r w:rsidR="0026772B">
        <w:t>ло</w:t>
      </w:r>
      <w:r>
        <w:t xml:space="preserve"> весь сегмент наружной рекламы.</w:t>
      </w:r>
      <w:r w:rsidRPr="002558B6">
        <w:t xml:space="preserve"> </w:t>
      </w:r>
      <w:r>
        <w:t>Р</w:t>
      </w:r>
      <w:r w:rsidRPr="002558B6">
        <w:t>ейтинг</w:t>
      </w:r>
      <w:r>
        <w:t xml:space="preserve">, как и годом ранее, </w:t>
      </w:r>
      <w:r w:rsidRPr="002558B6">
        <w:t>строится на опросе заказчиков услуг.</w:t>
      </w:r>
    </w:p>
    <w:p w:rsidR="00CF2A9F" w:rsidRPr="001462E3" w:rsidRDefault="00CF2A9F" w:rsidP="00CF2A9F">
      <w:r w:rsidRPr="00BE23BD">
        <w:t xml:space="preserve">Исследование </w:t>
      </w:r>
      <w:r w:rsidR="00DD3598">
        <w:t>проводилось</w:t>
      </w:r>
      <w:r w:rsidRPr="00BE23BD">
        <w:t xml:space="preserve"> в </w:t>
      </w:r>
      <w:r>
        <w:t>несколько</w:t>
      </w:r>
      <w:r w:rsidRPr="00BE23BD">
        <w:t xml:space="preserve"> этап</w:t>
      </w:r>
      <w:r>
        <w:t>ов</w:t>
      </w:r>
    </w:p>
    <w:p w:rsidR="00CF2A9F" w:rsidRPr="000D39BD" w:rsidRDefault="00CF2A9F" w:rsidP="00CF2A9F">
      <w:pPr>
        <w:pStyle w:val="a3"/>
        <w:numPr>
          <w:ilvl w:val="0"/>
          <w:numId w:val="19"/>
        </w:numPr>
        <w:rPr>
          <w:b/>
        </w:rPr>
      </w:pPr>
      <w:r w:rsidRPr="000D39BD">
        <w:rPr>
          <w:b/>
        </w:rPr>
        <w:t>Формирование экспертной панели и пула фигурантов рейтинга</w:t>
      </w:r>
    </w:p>
    <w:p w:rsidR="00CF2A9F" w:rsidRDefault="00CF2A9F" w:rsidP="00CF2A9F">
      <w:pPr>
        <w:pStyle w:val="a3"/>
        <w:numPr>
          <w:ilvl w:val="1"/>
          <w:numId w:val="29"/>
        </w:numPr>
      </w:pPr>
      <w:r>
        <w:t xml:space="preserve">Формирование первичного пула </w:t>
      </w:r>
      <w:r w:rsidRPr="00496C8E">
        <w:rPr>
          <w:b/>
        </w:rPr>
        <w:t>фигурантов рейтинга</w:t>
      </w:r>
      <w:r>
        <w:t xml:space="preserve"> на основе Т</w:t>
      </w:r>
      <w:bookmarkStart w:id="0" w:name="_GoBack"/>
      <w:bookmarkEnd w:id="0"/>
      <w:r>
        <w:t>ОП-50 операторов по бюджетам в 201</w:t>
      </w:r>
      <w:r w:rsidR="00260454">
        <w:t>6</w:t>
      </w:r>
      <w:r>
        <w:t xml:space="preserve"> году (оценка «ЭСПАР-Анал</w:t>
      </w:r>
      <w:r w:rsidR="00260454">
        <w:t xml:space="preserve">итик») и собственной экспертизы </w:t>
      </w:r>
      <w:r>
        <w:rPr>
          <w:lang w:val="en-US"/>
        </w:rPr>
        <w:t>In</w:t>
      </w:r>
      <w:r w:rsidRPr="00496C8E">
        <w:t>+</w:t>
      </w:r>
      <w:r>
        <w:rPr>
          <w:lang w:val="en-US"/>
        </w:rPr>
        <w:t>Out</w:t>
      </w:r>
    </w:p>
    <w:p w:rsidR="00CF2A9F" w:rsidRDefault="00CF2A9F" w:rsidP="00CF2A9F">
      <w:pPr>
        <w:pStyle w:val="a3"/>
        <w:numPr>
          <w:ilvl w:val="1"/>
          <w:numId w:val="29"/>
        </w:numPr>
      </w:pPr>
      <w:r>
        <w:t xml:space="preserve">Формирование </w:t>
      </w:r>
      <w:r w:rsidRPr="00496C8E">
        <w:rPr>
          <w:b/>
        </w:rPr>
        <w:t>экспертной панели</w:t>
      </w:r>
      <w:r>
        <w:t xml:space="preserve"> (</w:t>
      </w:r>
      <w:proofErr w:type="spellStart"/>
      <w:r>
        <w:t>байеров</w:t>
      </w:r>
      <w:proofErr w:type="spellEnd"/>
      <w:r>
        <w:t>, к</w:t>
      </w:r>
      <w:r w:rsidR="00260454">
        <w:t>оторые закупали инвентарь в 2016</w:t>
      </w:r>
      <w:r>
        <w:t>-201</w:t>
      </w:r>
      <w:r w:rsidR="00260454">
        <w:t>7</w:t>
      </w:r>
      <w:r>
        <w:t xml:space="preserve"> гг.) на основе опроса фигурантов, определенных на первом этапе, и анонса работы над рейтингом на сайте </w:t>
      </w:r>
      <w:proofErr w:type="spellStart"/>
      <w:r>
        <w:rPr>
          <w:lang w:val="en-US"/>
        </w:rPr>
        <w:t>AdIndex</w:t>
      </w:r>
      <w:proofErr w:type="spellEnd"/>
      <w:r w:rsidRPr="00496C8E">
        <w:t xml:space="preserve"> </w:t>
      </w:r>
      <w:r>
        <w:t xml:space="preserve">и в </w:t>
      </w:r>
      <w:proofErr w:type="spellStart"/>
      <w:r>
        <w:t>соцсетях</w:t>
      </w:r>
      <w:proofErr w:type="spellEnd"/>
      <w:r>
        <w:t>.</w:t>
      </w:r>
    </w:p>
    <w:p w:rsidR="00CF2A9F" w:rsidRDefault="00CF2A9F" w:rsidP="00CF2A9F">
      <w:pPr>
        <w:pStyle w:val="a3"/>
        <w:numPr>
          <w:ilvl w:val="0"/>
          <w:numId w:val="19"/>
        </w:numPr>
      </w:pPr>
      <w:r w:rsidRPr="000D39BD">
        <w:rPr>
          <w:b/>
        </w:rPr>
        <w:t xml:space="preserve">Опрос </w:t>
      </w:r>
      <w:proofErr w:type="spellStart"/>
      <w:r>
        <w:rPr>
          <w:b/>
        </w:rPr>
        <w:t>баинговых</w:t>
      </w:r>
      <w:proofErr w:type="spellEnd"/>
      <w:r>
        <w:rPr>
          <w:b/>
        </w:rPr>
        <w:t xml:space="preserve"> специалистов</w:t>
      </w:r>
      <w:r>
        <w:t xml:space="preserve"> с целью оценки всех участников рейтинга</w:t>
      </w:r>
    </w:p>
    <w:p w:rsidR="00CF2A9F" w:rsidRDefault="00CF2A9F" w:rsidP="00CF2A9F">
      <w:pPr>
        <w:pStyle w:val="a3"/>
        <w:numPr>
          <w:ilvl w:val="0"/>
          <w:numId w:val="19"/>
        </w:numPr>
      </w:pPr>
      <w:r w:rsidRPr="00AE209B">
        <w:rPr>
          <w:b/>
        </w:rPr>
        <w:t>Расчет средней оценки</w:t>
      </w:r>
      <w:r>
        <w:t xml:space="preserve"> по каждому критерию для каждого участника</w:t>
      </w:r>
      <w:proofErr w:type="gramStart"/>
      <w: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>асчет финального рейтинга на основе весов значимости по трем показателям.</w:t>
      </w:r>
      <w:r w:rsidRPr="00AE209B">
        <w:t xml:space="preserve"> </w:t>
      </w:r>
    </w:p>
    <w:p w:rsidR="00CF2A9F" w:rsidRPr="00BE23BD" w:rsidRDefault="00CF2A9F" w:rsidP="00CF2A9F">
      <w:pPr>
        <w:pStyle w:val="a3"/>
      </w:pPr>
    </w:p>
    <w:p w:rsidR="00CF2A9F" w:rsidRDefault="00CF2A9F" w:rsidP="00CF2A9F">
      <w:r w:rsidRPr="004E27B9">
        <w:rPr>
          <w:b/>
        </w:rPr>
        <w:t>ОПРЕДЕЛЕНИЯ</w:t>
      </w:r>
      <w:r>
        <w:t xml:space="preserve">, под которыми его участники фигурируют в рейтинге </w:t>
      </w:r>
    </w:p>
    <w:p w:rsidR="00CF2A9F" w:rsidRDefault="00CF2A9F" w:rsidP="00CF2A9F">
      <w:pPr>
        <w:pStyle w:val="a3"/>
        <w:rPr>
          <w:b/>
        </w:rPr>
      </w:pPr>
      <w:r>
        <w:t xml:space="preserve">Бизнес, который связан с эксклюзивными правами на тот или иной инвентарь (находящийся в собственности или продаваемый эксклюзивно), был определен как </w:t>
      </w:r>
      <w:r w:rsidRPr="00947B4A">
        <w:rPr>
          <w:b/>
        </w:rPr>
        <w:t>операторский</w:t>
      </w:r>
      <w:r>
        <w:rPr>
          <w:b/>
        </w:rPr>
        <w:t xml:space="preserve"> (</w:t>
      </w:r>
      <w:proofErr w:type="spellStart"/>
      <w:r>
        <w:rPr>
          <w:b/>
        </w:rPr>
        <w:t>селлерский</w:t>
      </w:r>
      <w:proofErr w:type="spellEnd"/>
      <w:r>
        <w:rPr>
          <w:b/>
        </w:rPr>
        <w:t>)</w:t>
      </w:r>
      <w:r>
        <w:t xml:space="preserve">. А действия по обеспечению всех необходимых закупок по запросу рекламодателей, вне зависимости от статуса владения – </w:t>
      </w:r>
      <w:proofErr w:type="spellStart"/>
      <w:r w:rsidRPr="00947B4A">
        <w:rPr>
          <w:b/>
        </w:rPr>
        <w:t>баинговой</w:t>
      </w:r>
      <w:proofErr w:type="spellEnd"/>
      <w:r w:rsidRPr="00947B4A">
        <w:rPr>
          <w:b/>
        </w:rPr>
        <w:t xml:space="preserve"> экспертизой</w:t>
      </w:r>
      <w:r>
        <w:t xml:space="preserve">. Несмотря на то, что ряд компаний, которые являются операторами в определенных сегментах,  предлагают размещение и на других инвентарных территориях, оценка операторской экспертизы будет производиться только по сегментам, где они являются «точкой входа» для закупки. По остальным будет </w:t>
      </w:r>
      <w:proofErr w:type="spellStart"/>
      <w:r>
        <w:t>аудироваться</w:t>
      </w:r>
      <w:proofErr w:type="spellEnd"/>
      <w:r>
        <w:t xml:space="preserve"> </w:t>
      </w:r>
      <w:proofErr w:type="spellStart"/>
      <w:r>
        <w:t>баинговая</w:t>
      </w:r>
      <w:proofErr w:type="spellEnd"/>
      <w:r>
        <w:t xml:space="preserve"> компетенция – клиентский сервис и бизнес-подход (включая ценовую политику). Подробнее см. раздел </w:t>
      </w:r>
      <w:r w:rsidRPr="00947B4A">
        <w:rPr>
          <w:b/>
        </w:rPr>
        <w:t>Основные определения</w:t>
      </w:r>
      <w:r>
        <w:rPr>
          <w:b/>
        </w:rPr>
        <w:t xml:space="preserve"> </w:t>
      </w:r>
      <w:r w:rsidRPr="00496C8E">
        <w:t>ниже</w:t>
      </w:r>
      <w:r w:rsidRPr="00947B4A">
        <w:rPr>
          <w:b/>
        </w:rPr>
        <w:t>.</w:t>
      </w:r>
    </w:p>
    <w:p w:rsidR="00CF2A9F" w:rsidRDefault="00CF2A9F" w:rsidP="00CF2A9F">
      <w:pPr>
        <w:pStyle w:val="a3"/>
        <w:rPr>
          <w:b/>
        </w:rPr>
      </w:pPr>
    </w:p>
    <w:p w:rsidR="00CF2A9F" w:rsidRPr="004E27B9" w:rsidRDefault="00CF2A9F" w:rsidP="00CF2A9F">
      <w:pPr>
        <w:rPr>
          <w:b/>
        </w:rPr>
      </w:pPr>
      <w:r>
        <w:rPr>
          <w:b/>
        </w:rPr>
        <w:t>ЭТАПЫ ПРОЕКТА</w:t>
      </w:r>
    </w:p>
    <w:p w:rsidR="00CF2A9F" w:rsidRPr="00947B4A" w:rsidRDefault="00CF2A9F" w:rsidP="00CF2A9F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Формирование списка участников рейтинга и экспертной панели</w:t>
      </w:r>
    </w:p>
    <w:p w:rsidR="00CF2A9F" w:rsidRDefault="00CF2A9F" w:rsidP="00CF2A9F">
      <w:pPr>
        <w:pStyle w:val="a3"/>
      </w:pPr>
      <w:r>
        <w:t xml:space="preserve">На </w:t>
      </w:r>
      <w:r>
        <w:rPr>
          <w:b/>
        </w:rPr>
        <w:t>первом</w:t>
      </w:r>
      <w:r w:rsidRPr="00947B4A">
        <w:rPr>
          <w:b/>
        </w:rPr>
        <w:t xml:space="preserve"> этапе</w:t>
      </w:r>
      <w:r>
        <w:t xml:space="preserve"> </w:t>
      </w:r>
      <w:r w:rsidR="0026772B">
        <w:t>был</w:t>
      </w:r>
      <w:r>
        <w:t xml:space="preserve"> сформирован перечень крупнейших игроков (операторов (</w:t>
      </w:r>
      <w:proofErr w:type="spellStart"/>
      <w:r>
        <w:t>селлеров</w:t>
      </w:r>
      <w:proofErr w:type="spellEnd"/>
      <w:r>
        <w:t xml:space="preserve">) и </w:t>
      </w:r>
      <w:proofErr w:type="spellStart"/>
      <w:r>
        <w:t>байеров</w:t>
      </w:r>
      <w:proofErr w:type="spellEnd"/>
      <w:r>
        <w:t xml:space="preserve">) в ООН-сегменте.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основе</w:t>
      </w:r>
      <w:proofErr w:type="gramEnd"/>
      <w:r>
        <w:t xml:space="preserve"> </w:t>
      </w:r>
      <w:r w:rsidR="0026772B">
        <w:t>был</w:t>
      </w:r>
      <w:r>
        <w:t xml:space="preserve"> взят рейтинг крупнейших операторов 201</w:t>
      </w:r>
      <w:r w:rsidR="0026772B">
        <w:t>5</w:t>
      </w:r>
      <w:r>
        <w:t xml:space="preserve"> года по бюджетам (данные «ЭСПАР-Аналитик»), который </w:t>
      </w:r>
      <w:r w:rsidR="0026772B">
        <w:t>был</w:t>
      </w:r>
      <w:r>
        <w:t xml:space="preserve"> дополнен с учетом экспертизы </w:t>
      </w:r>
      <w:r>
        <w:rPr>
          <w:lang w:val="en-US"/>
        </w:rPr>
        <w:t>In</w:t>
      </w:r>
      <w:r w:rsidRPr="00496C8E">
        <w:t>+</w:t>
      </w:r>
      <w:r>
        <w:rPr>
          <w:lang w:val="en-US"/>
        </w:rPr>
        <w:t>Out</w:t>
      </w:r>
      <w:r>
        <w:t>.</w:t>
      </w:r>
    </w:p>
    <w:p w:rsidR="00CF2A9F" w:rsidRDefault="00CF2A9F" w:rsidP="00CF2A9F">
      <w:pPr>
        <w:pStyle w:val="a3"/>
      </w:pPr>
      <w:r>
        <w:t xml:space="preserve">В адрес всех предполагаемых фигурантов рейтинга </w:t>
      </w:r>
      <w:r w:rsidR="00C2165F">
        <w:t>было</w:t>
      </w:r>
      <w:r>
        <w:t xml:space="preserve"> направлено предложение </w:t>
      </w:r>
      <w:proofErr w:type="gramStart"/>
      <w:r>
        <w:t>предоставить</w:t>
      </w:r>
      <w:proofErr w:type="gramEnd"/>
      <w:r>
        <w:t xml:space="preserve"> контакты заказчиков для последующей оценки. Кроме этого, на сайте </w:t>
      </w:r>
      <w:proofErr w:type="spellStart"/>
      <w:r>
        <w:rPr>
          <w:lang w:val="en-US"/>
        </w:rPr>
        <w:t>AdIndex</w:t>
      </w:r>
      <w:proofErr w:type="spellEnd"/>
      <w:r w:rsidRPr="009F41FC">
        <w:t xml:space="preserve"> </w:t>
      </w:r>
      <w:r>
        <w:t xml:space="preserve">и на страницах ресурса в </w:t>
      </w:r>
      <w:proofErr w:type="spellStart"/>
      <w:r>
        <w:t>соцсетях</w:t>
      </w:r>
      <w:proofErr w:type="spellEnd"/>
      <w:r>
        <w:t xml:space="preserve"> </w:t>
      </w:r>
      <w:r w:rsidR="00C2165F">
        <w:t>был</w:t>
      </w:r>
      <w:r>
        <w:t xml:space="preserve"> размещен анонс начала работы над рейтингом с приглашением принять для операторов в нем участие (предоставить контакты для анкетирования). В </w:t>
      </w:r>
      <w:proofErr w:type="gramStart"/>
      <w:r>
        <w:t>результате</w:t>
      </w:r>
      <w:proofErr w:type="gramEnd"/>
      <w:r>
        <w:t xml:space="preserve"> этого опроса и откликов на публикацию </w:t>
      </w:r>
      <w:r w:rsidR="00C2165F">
        <w:t>был</w:t>
      </w:r>
      <w:r>
        <w:t xml:space="preserve"> получен первичный пул потенциальных участников рейтинга.</w:t>
      </w:r>
    </w:p>
    <w:p w:rsidR="00CF2A9F" w:rsidRDefault="00CF2A9F" w:rsidP="00CF2A9F">
      <w:pPr>
        <w:pStyle w:val="a3"/>
      </w:pPr>
    </w:p>
    <w:p w:rsidR="00CF2A9F" w:rsidRPr="009F41FC" w:rsidRDefault="00CF2A9F" w:rsidP="00CF2A9F">
      <w:pPr>
        <w:pStyle w:val="a3"/>
        <w:sectPr w:rsidR="00CF2A9F" w:rsidRPr="009F41FC" w:rsidSect="00594182">
          <w:type w:val="continuous"/>
          <w:pgSz w:w="11906" w:h="16838"/>
          <w:pgMar w:top="1135" w:right="850" w:bottom="1418" w:left="1276" w:header="708" w:footer="708" w:gutter="0"/>
          <w:cols w:space="212"/>
          <w:docGrid w:linePitch="360"/>
        </w:sectPr>
      </w:pPr>
    </w:p>
    <w:p w:rsidR="00CF2A9F" w:rsidRPr="00AA1F1F" w:rsidRDefault="00CF2A9F" w:rsidP="00CF2A9F">
      <w:pPr>
        <w:pStyle w:val="a3"/>
        <w:numPr>
          <w:ilvl w:val="0"/>
          <w:numId w:val="20"/>
        </w:numPr>
        <w:ind w:left="284"/>
        <w:rPr>
          <w:b/>
        </w:rPr>
      </w:pPr>
      <w:r>
        <w:rPr>
          <w:b/>
        </w:rPr>
        <w:lastRenderedPageBreak/>
        <w:t>Опрос заказчиков услуг</w:t>
      </w:r>
    </w:p>
    <w:p w:rsidR="00CF2A9F" w:rsidRPr="00146A8D" w:rsidRDefault="00CF2A9F" w:rsidP="00CF2A9F">
      <w:pPr>
        <w:pStyle w:val="a3"/>
        <w:ind w:left="284"/>
      </w:pPr>
      <w:r>
        <w:lastRenderedPageBreak/>
        <w:t>В адрес покупателей ООН-инвентаря, определенных на первом этапе, направл</w:t>
      </w:r>
      <w:r w:rsidR="00C2165F">
        <w:t>ялась</w:t>
      </w:r>
      <w:r>
        <w:t xml:space="preserve"> ссылка на онлайн-анкетирование, в рамках которого им </w:t>
      </w:r>
      <w:r w:rsidR="00C2165F">
        <w:t>было</w:t>
      </w:r>
      <w:r>
        <w:t xml:space="preserve"> предложено</w:t>
      </w:r>
      <w:r w:rsidRPr="00146A8D">
        <w:t xml:space="preserve"> </w:t>
      </w:r>
      <w:r>
        <w:t xml:space="preserve">оценить </w:t>
      </w:r>
      <w:r w:rsidRPr="002D3574">
        <w:t>своих</w:t>
      </w:r>
      <w:r w:rsidRPr="00146A8D">
        <w:t xml:space="preserve"> подрядчиков  по трем параметрам: </w:t>
      </w:r>
      <w:r w:rsidRPr="002D3574">
        <w:t>инвентарь (операторы), клиентский сервис и бизнес</w:t>
      </w:r>
      <w:r>
        <w:t xml:space="preserve">-подход (операторы и </w:t>
      </w:r>
      <w:proofErr w:type="spellStart"/>
      <w:r>
        <w:t>ба</w:t>
      </w:r>
      <w:r w:rsidRPr="002D3574">
        <w:t>инговые</w:t>
      </w:r>
      <w:proofErr w:type="spellEnd"/>
      <w:r w:rsidRPr="002D3574">
        <w:t xml:space="preserve"> структуры).</w:t>
      </w:r>
    </w:p>
    <w:p w:rsidR="00CF2A9F" w:rsidRDefault="00CF2A9F" w:rsidP="00CF2A9F">
      <w:pPr>
        <w:ind w:left="284"/>
      </w:pPr>
      <w:r w:rsidRPr="002D3574">
        <w:t>Каждый заказ</w:t>
      </w:r>
      <w:r>
        <w:t>чик оценива</w:t>
      </w:r>
      <w:r w:rsidR="00C2165F">
        <w:t>л</w:t>
      </w:r>
      <w:r>
        <w:t xml:space="preserve"> только те компании, с</w:t>
      </w:r>
      <w:r w:rsidRPr="002D3574">
        <w:t xml:space="preserve"> которыми он сотрудничал</w:t>
      </w:r>
      <w:r>
        <w:t xml:space="preserve"> за последние полтора года. При выставлении оценок эксперты </w:t>
      </w:r>
      <w:proofErr w:type="spellStart"/>
      <w:r w:rsidR="00C2165F">
        <w:t>оперироали</w:t>
      </w:r>
      <w:r>
        <w:t>ь</w:t>
      </w:r>
      <w:proofErr w:type="spellEnd"/>
      <w:r>
        <w:t xml:space="preserve"> пятибалльной шкалой.</w:t>
      </w:r>
    </w:p>
    <w:p w:rsidR="00CF2A9F" w:rsidRPr="00AA1F1F" w:rsidRDefault="00CF2A9F" w:rsidP="00CF2A9F">
      <w:pPr>
        <w:rPr>
          <w:b/>
        </w:rPr>
      </w:pPr>
      <w:r w:rsidRPr="00AA1F1F">
        <w:rPr>
          <w:b/>
        </w:rPr>
        <w:t>Вектора оценки</w:t>
      </w:r>
    </w:p>
    <w:p w:rsidR="00CF2A9F" w:rsidRPr="00146A8D" w:rsidRDefault="00CF2A9F" w:rsidP="00CF2A9F">
      <w:pPr>
        <w:pStyle w:val="a3"/>
      </w:pPr>
      <w:r>
        <w:rPr>
          <w:b/>
        </w:rPr>
        <w:t>2.1  Инвентарь</w:t>
      </w:r>
      <w:r w:rsidRPr="00146A8D">
        <w:t xml:space="preserve"> (</w:t>
      </w:r>
      <w:r w:rsidRPr="005E1E9D">
        <w:t>оценива</w:t>
      </w:r>
      <w:r w:rsidR="00560A6A">
        <w:t>лись</w:t>
      </w:r>
      <w:r w:rsidRPr="00146A8D">
        <w:rPr>
          <w:b/>
        </w:rPr>
        <w:t xml:space="preserve"> </w:t>
      </w:r>
      <w:r w:rsidRPr="005E1E9D">
        <w:t>только</w:t>
      </w:r>
      <w:r w:rsidRPr="00146A8D">
        <w:rPr>
          <w:b/>
        </w:rPr>
        <w:t xml:space="preserve"> операторы</w:t>
      </w:r>
      <w:r w:rsidRPr="00146A8D">
        <w:t>):</w:t>
      </w:r>
    </w:p>
    <w:p w:rsidR="00CF2A9F" w:rsidRDefault="00CF2A9F" w:rsidP="00CF2A9F">
      <w:pPr>
        <w:pStyle w:val="a3"/>
      </w:pPr>
      <w:r>
        <w:t>1</w:t>
      </w:r>
      <w:r w:rsidRPr="005E1E9D">
        <w:t>.</w:t>
      </w:r>
      <w:r w:rsidRPr="005E1E9D">
        <w:tab/>
      </w:r>
      <w:r>
        <w:t>Техническое состояние инвентаря</w:t>
      </w:r>
    </w:p>
    <w:p w:rsidR="00CF2A9F" w:rsidRPr="005E1E9D" w:rsidRDefault="00CF2A9F" w:rsidP="00CF2A9F">
      <w:pPr>
        <w:pStyle w:val="a3"/>
      </w:pPr>
      <w:r>
        <w:t>2</w:t>
      </w:r>
      <w:r w:rsidRPr="005E1E9D">
        <w:t>.</w:t>
      </w:r>
      <w:r>
        <w:tab/>
        <w:t>Технологичность инвентаря</w:t>
      </w:r>
    </w:p>
    <w:p w:rsidR="00CF2A9F" w:rsidRPr="005E1E9D" w:rsidRDefault="00CF2A9F" w:rsidP="00CF2A9F">
      <w:pPr>
        <w:pStyle w:val="a3"/>
      </w:pPr>
      <w:r>
        <w:t>3</w:t>
      </w:r>
      <w:r w:rsidRPr="005E1E9D">
        <w:t>.</w:t>
      </w:r>
      <w:r>
        <w:tab/>
        <w:t>Охват (присутствие в регионах)</w:t>
      </w:r>
    </w:p>
    <w:p w:rsidR="00CF2A9F" w:rsidRPr="00146A8D" w:rsidRDefault="00CF2A9F" w:rsidP="00CF2A9F">
      <w:pPr>
        <w:pStyle w:val="a3"/>
      </w:pPr>
    </w:p>
    <w:p w:rsidR="00CF2A9F" w:rsidRPr="00435568" w:rsidRDefault="00CF2A9F" w:rsidP="00CF2A9F">
      <w:pPr>
        <w:pStyle w:val="a3"/>
        <w:numPr>
          <w:ilvl w:val="1"/>
          <w:numId w:val="20"/>
        </w:numPr>
        <w:rPr>
          <w:b/>
        </w:rPr>
      </w:pPr>
      <w:r>
        <w:rPr>
          <w:b/>
        </w:rPr>
        <w:t>К</w:t>
      </w:r>
      <w:r w:rsidRPr="00435568">
        <w:rPr>
          <w:b/>
        </w:rPr>
        <w:t>лиентск</w:t>
      </w:r>
      <w:r>
        <w:rPr>
          <w:b/>
        </w:rPr>
        <w:t>ий</w:t>
      </w:r>
      <w:r w:rsidRPr="00435568">
        <w:rPr>
          <w:b/>
        </w:rPr>
        <w:t xml:space="preserve"> сервис</w:t>
      </w:r>
      <w:r>
        <w:t xml:space="preserve"> </w:t>
      </w:r>
      <w:r w:rsidRPr="00146A8D">
        <w:t>(</w:t>
      </w:r>
      <w:r w:rsidR="00560A6A" w:rsidRPr="005E1E9D">
        <w:t>оценива</w:t>
      </w:r>
      <w:r w:rsidR="00560A6A">
        <w:t>лись</w:t>
      </w:r>
      <w:r w:rsidR="00560A6A" w:rsidRPr="00146A8D">
        <w:rPr>
          <w:b/>
        </w:rPr>
        <w:t xml:space="preserve"> </w:t>
      </w:r>
      <w:r w:rsidRPr="00435568">
        <w:rPr>
          <w:b/>
        </w:rPr>
        <w:t>операторы и</w:t>
      </w:r>
      <w:r w:rsidRPr="00146A8D">
        <w:t xml:space="preserve"> </w:t>
      </w:r>
      <w:proofErr w:type="spellStart"/>
      <w:r w:rsidRPr="00435568">
        <w:rPr>
          <w:b/>
        </w:rPr>
        <w:t>ба</w:t>
      </w:r>
      <w:r>
        <w:rPr>
          <w:b/>
        </w:rPr>
        <w:t>й</w:t>
      </w:r>
      <w:r w:rsidRPr="00435568">
        <w:rPr>
          <w:b/>
        </w:rPr>
        <w:t>еры</w:t>
      </w:r>
      <w:proofErr w:type="spellEnd"/>
      <w:r w:rsidRPr="00435568">
        <w:rPr>
          <w:b/>
        </w:rPr>
        <w:t>)</w:t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>Скорость и качество коммуникаций и реагирования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>Скорость монтажа/демонтажа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>Оперативность устранения дефектов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>Качество мониторинга (соблюдение заявленной частоты)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>Полнота и качество документооборота (включая отчеты)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proofErr w:type="spellStart"/>
      <w:r w:rsidRPr="005E1E9D">
        <w:t>Клиенто</w:t>
      </w:r>
      <w:proofErr w:type="spellEnd"/>
      <w:r w:rsidRPr="005E1E9D">
        <w:t>-ориентированность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2"/>
        </w:numPr>
        <w:ind w:left="1418" w:hanging="709"/>
      </w:pPr>
      <w:r w:rsidRPr="005E1E9D">
        <w:t xml:space="preserve">Наличие дополнительных сервисов (креатив, </w:t>
      </w:r>
      <w:proofErr w:type="spellStart"/>
      <w:r w:rsidRPr="005E1E9D">
        <w:t>продакшен</w:t>
      </w:r>
      <w:proofErr w:type="spellEnd"/>
      <w:r w:rsidRPr="005E1E9D">
        <w:t xml:space="preserve">, </w:t>
      </w:r>
      <w:proofErr w:type="spellStart"/>
      <w:r w:rsidRPr="005E1E9D">
        <w:t>баинг</w:t>
      </w:r>
      <w:proofErr w:type="spellEnd"/>
      <w:r w:rsidRPr="005E1E9D">
        <w:t>, другое)</w:t>
      </w:r>
    </w:p>
    <w:p w:rsidR="00CF2A9F" w:rsidRPr="00146A8D" w:rsidRDefault="00CF2A9F" w:rsidP="00CF2A9F">
      <w:pPr>
        <w:pStyle w:val="a3"/>
        <w:rPr>
          <w:b/>
        </w:rPr>
      </w:pPr>
    </w:p>
    <w:p w:rsidR="00CF2A9F" w:rsidRPr="005E1E9D" w:rsidRDefault="00CF2A9F" w:rsidP="00CF2A9F">
      <w:pPr>
        <w:pStyle w:val="a3"/>
        <w:numPr>
          <w:ilvl w:val="1"/>
          <w:numId w:val="20"/>
        </w:numPr>
        <w:rPr>
          <w:b/>
        </w:rPr>
      </w:pPr>
      <w:r>
        <w:rPr>
          <w:b/>
        </w:rPr>
        <w:t>У</w:t>
      </w:r>
      <w:r w:rsidRPr="005E1E9D">
        <w:rPr>
          <w:b/>
        </w:rPr>
        <w:t>ров</w:t>
      </w:r>
      <w:r>
        <w:rPr>
          <w:b/>
        </w:rPr>
        <w:t>ень</w:t>
      </w:r>
      <w:r w:rsidRPr="005E1E9D">
        <w:rPr>
          <w:b/>
        </w:rPr>
        <w:t xml:space="preserve"> ведения бизнеса  </w:t>
      </w:r>
      <w:r w:rsidRPr="00146A8D">
        <w:t>(</w:t>
      </w:r>
      <w:r w:rsidR="00560A6A" w:rsidRPr="005E1E9D">
        <w:t>оценива</w:t>
      </w:r>
      <w:r w:rsidR="00560A6A">
        <w:t>лись</w:t>
      </w:r>
      <w:r w:rsidR="00560A6A" w:rsidRPr="00146A8D">
        <w:rPr>
          <w:b/>
        </w:rPr>
        <w:t xml:space="preserve"> </w:t>
      </w:r>
      <w:r w:rsidRPr="005E1E9D">
        <w:rPr>
          <w:b/>
        </w:rPr>
        <w:t>операторы и</w:t>
      </w:r>
      <w:r w:rsidRPr="00146A8D">
        <w:t xml:space="preserve"> </w:t>
      </w:r>
      <w:proofErr w:type="spellStart"/>
      <w:r w:rsidRPr="005E1E9D">
        <w:rPr>
          <w:b/>
        </w:rPr>
        <w:t>ба</w:t>
      </w:r>
      <w:r>
        <w:rPr>
          <w:b/>
        </w:rPr>
        <w:t>й</w:t>
      </w:r>
      <w:r w:rsidRPr="005E1E9D">
        <w:rPr>
          <w:b/>
        </w:rPr>
        <w:t>еры</w:t>
      </w:r>
      <w:proofErr w:type="spellEnd"/>
      <w:r w:rsidRPr="005E1E9D">
        <w:rPr>
          <w:b/>
        </w:rPr>
        <w:t>)</w:t>
      </w:r>
    </w:p>
    <w:p w:rsidR="00CF2A9F" w:rsidRPr="005E1E9D" w:rsidRDefault="00CF2A9F" w:rsidP="00CF2A9F">
      <w:pPr>
        <w:pStyle w:val="a3"/>
        <w:numPr>
          <w:ilvl w:val="0"/>
          <w:numId w:val="23"/>
        </w:numPr>
      </w:pPr>
      <w:r w:rsidRPr="005E1E9D">
        <w:t>Выстроенный бренд</w:t>
      </w:r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3"/>
        </w:numPr>
      </w:pPr>
      <w:proofErr w:type="gramStart"/>
      <w:r w:rsidRPr="005E1E9D">
        <w:t>Социальная</w:t>
      </w:r>
      <w:proofErr w:type="gramEnd"/>
      <w:r w:rsidRPr="005E1E9D">
        <w:t xml:space="preserve"> бизнес-активность (выступления в СМИ, выставках, конференциях, ассоциациях и т.п.) </w:t>
      </w:r>
    </w:p>
    <w:p w:rsidR="00CF2A9F" w:rsidRPr="005E1E9D" w:rsidRDefault="00CF2A9F" w:rsidP="00CF2A9F">
      <w:pPr>
        <w:pStyle w:val="a3"/>
        <w:numPr>
          <w:ilvl w:val="0"/>
          <w:numId w:val="23"/>
        </w:numPr>
      </w:pPr>
      <w:r w:rsidRPr="005E1E9D">
        <w:t xml:space="preserve">Качество </w:t>
      </w:r>
      <w:proofErr w:type="spellStart"/>
      <w:r w:rsidRPr="005E1E9D">
        <w:t>медиаметрии</w:t>
      </w:r>
      <w:proofErr w:type="spellEnd"/>
      <w:r w:rsidRPr="005E1E9D">
        <w:tab/>
      </w:r>
    </w:p>
    <w:p w:rsidR="00CF2A9F" w:rsidRPr="005E1E9D" w:rsidRDefault="00CF2A9F" w:rsidP="00CF2A9F">
      <w:pPr>
        <w:pStyle w:val="a3"/>
        <w:numPr>
          <w:ilvl w:val="0"/>
          <w:numId w:val="23"/>
        </w:numPr>
      </w:pPr>
      <w:r>
        <w:t>Финансовая политика: п</w:t>
      </w:r>
      <w:r w:rsidRPr="005E1E9D">
        <w:t>розрачность ценооб</w:t>
      </w:r>
      <w:r>
        <w:t>разования и дисконтной политики, у</w:t>
      </w:r>
      <w:r w:rsidRPr="005E1E9D">
        <w:t xml:space="preserve">добство требований и графика оплаты (наличие </w:t>
      </w:r>
      <w:proofErr w:type="spellStart"/>
      <w:r w:rsidRPr="005E1E9D">
        <w:t>постоплат</w:t>
      </w:r>
      <w:proofErr w:type="spellEnd"/>
      <w:r w:rsidRPr="005E1E9D">
        <w:t>, гибкость в сроках и т.д.)</w:t>
      </w:r>
    </w:p>
    <w:p w:rsidR="00CF2A9F" w:rsidRPr="005E1E9D" w:rsidRDefault="00CF2A9F" w:rsidP="00CF2A9F">
      <w:pPr>
        <w:pStyle w:val="a3"/>
        <w:numPr>
          <w:ilvl w:val="0"/>
          <w:numId w:val="23"/>
        </w:numPr>
      </w:pPr>
      <w:r w:rsidRPr="005E1E9D">
        <w:t>Эксклюзивность – дол</w:t>
      </w:r>
      <w:r>
        <w:t>я присутствия на своем сегменте</w:t>
      </w:r>
    </w:p>
    <w:p w:rsidR="00CF2A9F" w:rsidRDefault="00CF2A9F" w:rsidP="00CF2A9F">
      <w:pPr>
        <w:pStyle w:val="a3"/>
        <w:numPr>
          <w:ilvl w:val="0"/>
          <w:numId w:val="23"/>
        </w:numPr>
      </w:pPr>
      <w:r w:rsidRPr="005E1E9D">
        <w:t>Достоверность предоставляемых данных – степень доверия к исходящей информации</w:t>
      </w:r>
    </w:p>
    <w:p w:rsidR="00CF2A9F" w:rsidRDefault="00CF2A9F" w:rsidP="00CF2A9F">
      <w:pPr>
        <w:pStyle w:val="a3"/>
        <w:numPr>
          <w:ilvl w:val="0"/>
          <w:numId w:val="23"/>
        </w:numPr>
      </w:pPr>
      <w:proofErr w:type="spellStart"/>
      <w:r>
        <w:t>Инновационность</w:t>
      </w:r>
      <w:proofErr w:type="spellEnd"/>
      <w:r>
        <w:t xml:space="preserve"> компании: отслеживание современных тенденций и оперативное внедрение технологий и процессов, способствующих повышению эффективности размещения </w:t>
      </w:r>
    </w:p>
    <w:p w:rsidR="00CF2A9F" w:rsidRDefault="00CF2A9F" w:rsidP="00CF2A9F">
      <w:pPr>
        <w:pStyle w:val="a3"/>
        <w:ind w:left="1080"/>
      </w:pPr>
    </w:p>
    <w:p w:rsidR="00CF2A9F" w:rsidRPr="00BA0641" w:rsidRDefault="00CF2A9F" w:rsidP="00CF2A9F">
      <w:pPr>
        <w:pStyle w:val="a3"/>
        <w:numPr>
          <w:ilvl w:val="0"/>
          <w:numId w:val="20"/>
        </w:numPr>
        <w:rPr>
          <w:b/>
        </w:rPr>
      </w:pPr>
      <w:r w:rsidRPr="00BA0641">
        <w:rPr>
          <w:b/>
        </w:rPr>
        <w:t xml:space="preserve"> Получение итоговой оценки</w:t>
      </w:r>
    </w:p>
    <w:p w:rsidR="00CF2A9F" w:rsidRPr="00146A8D" w:rsidRDefault="00CF2A9F" w:rsidP="00CF2A9F">
      <w:r w:rsidRPr="00F600B1">
        <w:rPr>
          <w:b/>
        </w:rPr>
        <w:t>Технология подсчетов</w:t>
      </w:r>
      <w:r w:rsidRPr="00F600B1">
        <w:t xml:space="preserve">. </w:t>
      </w:r>
      <w:r>
        <w:t xml:space="preserve">Оценки, полученные фигурантами рейтинга, </w:t>
      </w:r>
      <w:r w:rsidR="00560A6A">
        <w:t>умножались</w:t>
      </w:r>
      <w:r>
        <w:t xml:space="preserve"> на </w:t>
      </w:r>
      <w:r w:rsidR="00560A6A">
        <w:t>коэффициент</w:t>
      </w:r>
      <w:r>
        <w:t xml:space="preserve"> зн</w:t>
      </w:r>
      <w:r w:rsidR="00560A6A">
        <w:t>ачимости критериев, определенный</w:t>
      </w:r>
      <w:r>
        <w:t xml:space="preserve"> в исследовании прошлого года.</w:t>
      </w:r>
    </w:p>
    <w:p w:rsidR="00CF2A9F" w:rsidRDefault="00CF2A9F" w:rsidP="00CF2A9F">
      <w:pPr>
        <w:rPr>
          <w:b/>
          <w:sz w:val="24"/>
        </w:rPr>
      </w:pPr>
    </w:p>
    <w:p w:rsidR="00CF2A9F" w:rsidRPr="00594182" w:rsidRDefault="00CF2A9F" w:rsidP="00CF2A9F">
      <w:pPr>
        <w:rPr>
          <w:b/>
          <w:sz w:val="24"/>
        </w:rPr>
      </w:pPr>
      <w:r w:rsidRPr="00594182">
        <w:rPr>
          <w:b/>
          <w:sz w:val="24"/>
        </w:rPr>
        <w:t>ОСНОВНЫЕ ОПРЕДЕЛЕНИЯ</w:t>
      </w:r>
    </w:p>
    <w:p w:rsidR="00CF2A9F" w:rsidRPr="00146A8D" w:rsidRDefault="00CF2A9F" w:rsidP="00CF2A9F">
      <w:r w:rsidRPr="00146A8D">
        <w:rPr>
          <w:b/>
        </w:rPr>
        <w:t>Площадка</w:t>
      </w:r>
      <w:r w:rsidRPr="00146A8D">
        <w:t xml:space="preserve"> – это субъект процесса взаимодействия, обладающий правом распоряжаться  обособленной территорией (зданием и/или прилегающей территорией), на которой размещаются рекламные конструкции или проходит рекламная кампания.</w:t>
      </w:r>
    </w:p>
    <w:p w:rsidR="00CF2A9F" w:rsidRPr="00146A8D" w:rsidRDefault="00CF2A9F" w:rsidP="00CF2A9F">
      <w:r w:rsidRPr="00146A8D">
        <w:rPr>
          <w:b/>
        </w:rPr>
        <w:lastRenderedPageBreak/>
        <w:t>Рекламная конструкция</w:t>
      </w:r>
      <w:r w:rsidRPr="00146A8D">
        <w:t xml:space="preserve"> – физический носитель постоянного или временного территориального размещения, расположенный по конкретному адресу, обладающий возможностями для демонстрации рекламно-информационных материалов (далее РИМ).</w:t>
      </w:r>
    </w:p>
    <w:p w:rsidR="00CF2A9F" w:rsidRPr="00146A8D" w:rsidRDefault="00CF2A9F" w:rsidP="00CF2A9F">
      <w:r w:rsidRPr="00146A8D">
        <w:rPr>
          <w:b/>
        </w:rPr>
        <w:t>Оператор</w:t>
      </w:r>
      <w:r>
        <w:rPr>
          <w:b/>
        </w:rPr>
        <w:t xml:space="preserve"> (</w:t>
      </w:r>
      <w:proofErr w:type="spellStart"/>
      <w:r>
        <w:rPr>
          <w:b/>
        </w:rPr>
        <w:t>селлер</w:t>
      </w:r>
      <w:proofErr w:type="spellEnd"/>
      <w:r>
        <w:rPr>
          <w:b/>
        </w:rPr>
        <w:t>)</w:t>
      </w:r>
      <w:r w:rsidRPr="00146A8D">
        <w:t xml:space="preserve"> - компания, которая управляет стационарной рекламной конструкцией и рекламными кампаниями, проходящими на ней (участник процесса, без которого провести кампанию невозможно).</w:t>
      </w:r>
    </w:p>
    <w:p w:rsidR="00CF2A9F" w:rsidRPr="00146A8D" w:rsidRDefault="00CF2A9F" w:rsidP="00CF2A9F">
      <w:proofErr w:type="spellStart"/>
      <w:r w:rsidRPr="00146A8D">
        <w:rPr>
          <w:b/>
        </w:rPr>
        <w:t>Баинговая</w:t>
      </w:r>
      <w:proofErr w:type="spellEnd"/>
      <w:r w:rsidRPr="00146A8D">
        <w:rPr>
          <w:b/>
        </w:rPr>
        <w:t xml:space="preserve"> структура </w:t>
      </w:r>
      <w:r w:rsidRPr="00146A8D">
        <w:t>– компания, владеющая договором с площадкой на размещение РИМ, осуществляющая размещение своими силами или с привлечением третьих лиц.</w:t>
      </w:r>
    </w:p>
    <w:p w:rsidR="00CF2A9F" w:rsidRPr="00093BB5" w:rsidRDefault="00CF2A9F" w:rsidP="00CF2A9F">
      <w:r w:rsidRPr="00093BB5">
        <w:rPr>
          <w:b/>
        </w:rPr>
        <w:t xml:space="preserve">Агентский </w:t>
      </w:r>
      <w:proofErr w:type="spellStart"/>
      <w:r w:rsidRPr="00093BB5">
        <w:rPr>
          <w:b/>
        </w:rPr>
        <w:t>байер</w:t>
      </w:r>
      <w:proofErr w:type="spellEnd"/>
      <w:r>
        <w:t xml:space="preserve"> – специалист </w:t>
      </w:r>
      <w:proofErr w:type="spellStart"/>
      <w:r>
        <w:t>медийного</w:t>
      </w:r>
      <w:proofErr w:type="spellEnd"/>
      <w:r>
        <w:t xml:space="preserve"> агентства, закупающий </w:t>
      </w:r>
      <w:r>
        <w:rPr>
          <w:lang w:val="en-US"/>
        </w:rPr>
        <w:t>indoor</w:t>
      </w:r>
      <w:r>
        <w:t>-инвентарь для своих клиентов.</w:t>
      </w:r>
    </w:p>
    <w:p w:rsidR="00CF2A9F" w:rsidRDefault="00CF2A9F" w:rsidP="00CF2A9F">
      <w:pPr>
        <w:ind w:left="-142"/>
        <w:sectPr w:rsidR="00CF2A9F" w:rsidSect="00594182">
          <w:type w:val="continuous"/>
          <w:pgSz w:w="11906" w:h="16838"/>
          <w:pgMar w:top="1276" w:right="850" w:bottom="1135" w:left="1701" w:header="708" w:footer="708" w:gutter="0"/>
          <w:cols w:space="708"/>
          <w:docGrid w:linePitch="360"/>
        </w:sectPr>
      </w:pPr>
    </w:p>
    <w:p w:rsidR="00CF2A9F" w:rsidRPr="00146A8D" w:rsidRDefault="00CF2A9F" w:rsidP="00CF2A9F">
      <w:pPr>
        <w:ind w:left="-142"/>
      </w:pPr>
    </w:p>
    <w:p w:rsidR="00F62DCA" w:rsidRPr="00CF2A9F" w:rsidRDefault="00F62DCA" w:rsidP="00CF2A9F"/>
    <w:sectPr w:rsidR="00F62DCA" w:rsidRPr="00CF2A9F" w:rsidSect="00F600B1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C6" w:rsidRDefault="00ED45C6" w:rsidP="00B9478F">
      <w:pPr>
        <w:spacing w:after="0" w:line="240" w:lineRule="auto"/>
      </w:pPr>
      <w:r>
        <w:separator/>
      </w:r>
    </w:p>
  </w:endnote>
  <w:endnote w:type="continuationSeparator" w:id="0">
    <w:p w:rsidR="00ED45C6" w:rsidRDefault="00ED45C6" w:rsidP="00B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C6" w:rsidRDefault="00ED45C6" w:rsidP="00B9478F">
      <w:pPr>
        <w:spacing w:after="0" w:line="240" w:lineRule="auto"/>
      </w:pPr>
      <w:r>
        <w:separator/>
      </w:r>
    </w:p>
  </w:footnote>
  <w:footnote w:type="continuationSeparator" w:id="0">
    <w:p w:rsidR="00ED45C6" w:rsidRDefault="00ED45C6" w:rsidP="00B9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B3"/>
    <w:multiLevelType w:val="hybridMultilevel"/>
    <w:tmpl w:val="BE38EA50"/>
    <w:lvl w:ilvl="0" w:tplc="63CE5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3D"/>
    <w:multiLevelType w:val="multilevel"/>
    <w:tmpl w:val="7020D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CD2731"/>
    <w:multiLevelType w:val="hybridMultilevel"/>
    <w:tmpl w:val="00A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553"/>
    <w:multiLevelType w:val="hybridMultilevel"/>
    <w:tmpl w:val="BEE28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A6F1B"/>
    <w:multiLevelType w:val="hybridMultilevel"/>
    <w:tmpl w:val="21344682"/>
    <w:lvl w:ilvl="0" w:tplc="5EAA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66947"/>
    <w:multiLevelType w:val="hybridMultilevel"/>
    <w:tmpl w:val="56B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7A75"/>
    <w:multiLevelType w:val="multilevel"/>
    <w:tmpl w:val="5CFC8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283F2732"/>
    <w:multiLevelType w:val="hybridMultilevel"/>
    <w:tmpl w:val="6734CD8E"/>
    <w:lvl w:ilvl="0" w:tplc="D7CEA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1082EB1"/>
    <w:multiLevelType w:val="hybridMultilevel"/>
    <w:tmpl w:val="D558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7168"/>
    <w:multiLevelType w:val="hybridMultilevel"/>
    <w:tmpl w:val="E1D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CD5"/>
    <w:multiLevelType w:val="hybridMultilevel"/>
    <w:tmpl w:val="6C5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2D06"/>
    <w:multiLevelType w:val="hybridMultilevel"/>
    <w:tmpl w:val="C9F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6345D"/>
    <w:multiLevelType w:val="hybridMultilevel"/>
    <w:tmpl w:val="12B6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546E5"/>
    <w:multiLevelType w:val="multilevel"/>
    <w:tmpl w:val="8A3A7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51D0769"/>
    <w:multiLevelType w:val="hybridMultilevel"/>
    <w:tmpl w:val="FF98381C"/>
    <w:lvl w:ilvl="0" w:tplc="8026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07022"/>
    <w:multiLevelType w:val="hybridMultilevel"/>
    <w:tmpl w:val="3348C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8F42BF"/>
    <w:multiLevelType w:val="hybridMultilevel"/>
    <w:tmpl w:val="62CA692C"/>
    <w:lvl w:ilvl="0" w:tplc="73723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4740"/>
    <w:multiLevelType w:val="hybridMultilevel"/>
    <w:tmpl w:val="F5961DD4"/>
    <w:lvl w:ilvl="0" w:tplc="D01AF9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864D6"/>
    <w:multiLevelType w:val="hybridMultilevel"/>
    <w:tmpl w:val="F76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2067B"/>
    <w:multiLevelType w:val="hybridMultilevel"/>
    <w:tmpl w:val="076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936C3"/>
    <w:multiLevelType w:val="hybridMultilevel"/>
    <w:tmpl w:val="373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22B4"/>
    <w:multiLevelType w:val="hybridMultilevel"/>
    <w:tmpl w:val="17BC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0B5"/>
    <w:multiLevelType w:val="hybridMultilevel"/>
    <w:tmpl w:val="6F48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3185"/>
    <w:multiLevelType w:val="hybridMultilevel"/>
    <w:tmpl w:val="9FEC9994"/>
    <w:lvl w:ilvl="0" w:tplc="83E2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545C1"/>
    <w:multiLevelType w:val="hybridMultilevel"/>
    <w:tmpl w:val="BEBCE2EA"/>
    <w:lvl w:ilvl="0" w:tplc="246E1082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20"/>
  </w:num>
  <w:num w:numId="8">
    <w:abstractNumId w:val="16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15"/>
  </w:num>
  <w:num w:numId="17">
    <w:abstractNumId w:val="22"/>
  </w:num>
  <w:num w:numId="18">
    <w:abstractNumId w:val="9"/>
  </w:num>
  <w:num w:numId="19">
    <w:abstractNumId w:val="18"/>
  </w:num>
  <w:num w:numId="20">
    <w:abstractNumId w:val="13"/>
  </w:num>
  <w:num w:numId="21">
    <w:abstractNumId w:val="3"/>
  </w:num>
  <w:num w:numId="22">
    <w:abstractNumId w:val="7"/>
  </w:num>
  <w:num w:numId="23">
    <w:abstractNumId w:val="14"/>
  </w:num>
  <w:num w:numId="24">
    <w:abstractNumId w:val="12"/>
  </w:num>
  <w:num w:numId="25">
    <w:abstractNumId w:val="0"/>
  </w:num>
  <w:num w:numId="26">
    <w:abstractNumId w:val="17"/>
  </w:num>
  <w:num w:numId="27">
    <w:abstractNumId w:val="24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C"/>
    <w:rsid w:val="0007075A"/>
    <w:rsid w:val="00093BB5"/>
    <w:rsid w:val="000B0016"/>
    <w:rsid w:val="000C37C7"/>
    <w:rsid w:val="000C6271"/>
    <w:rsid w:val="000C7616"/>
    <w:rsid w:val="000D2BE2"/>
    <w:rsid w:val="0011325A"/>
    <w:rsid w:val="00114475"/>
    <w:rsid w:val="00125E76"/>
    <w:rsid w:val="00141B49"/>
    <w:rsid w:val="00142730"/>
    <w:rsid w:val="0014440B"/>
    <w:rsid w:val="001462E3"/>
    <w:rsid w:val="00146A8D"/>
    <w:rsid w:val="001761D0"/>
    <w:rsid w:val="00194617"/>
    <w:rsid w:val="001B6DC6"/>
    <w:rsid w:val="0022220F"/>
    <w:rsid w:val="002558B6"/>
    <w:rsid w:val="00260454"/>
    <w:rsid w:val="0026772B"/>
    <w:rsid w:val="0027517C"/>
    <w:rsid w:val="002D3574"/>
    <w:rsid w:val="002D67B4"/>
    <w:rsid w:val="0030329B"/>
    <w:rsid w:val="00305502"/>
    <w:rsid w:val="00361FAC"/>
    <w:rsid w:val="00394E6E"/>
    <w:rsid w:val="00405D08"/>
    <w:rsid w:val="00407F60"/>
    <w:rsid w:val="00420480"/>
    <w:rsid w:val="00432E5C"/>
    <w:rsid w:val="00435568"/>
    <w:rsid w:val="004501D2"/>
    <w:rsid w:val="00496C8E"/>
    <w:rsid w:val="004E1114"/>
    <w:rsid w:val="004E27B9"/>
    <w:rsid w:val="00503255"/>
    <w:rsid w:val="00521478"/>
    <w:rsid w:val="00560A6A"/>
    <w:rsid w:val="00572787"/>
    <w:rsid w:val="00591C57"/>
    <w:rsid w:val="00594182"/>
    <w:rsid w:val="00597011"/>
    <w:rsid w:val="005C4C7E"/>
    <w:rsid w:val="005E1E9D"/>
    <w:rsid w:val="005E32E6"/>
    <w:rsid w:val="00670E3F"/>
    <w:rsid w:val="00685A75"/>
    <w:rsid w:val="00697103"/>
    <w:rsid w:val="006A7C25"/>
    <w:rsid w:val="006C7DE1"/>
    <w:rsid w:val="006E21AF"/>
    <w:rsid w:val="006F4751"/>
    <w:rsid w:val="006F6367"/>
    <w:rsid w:val="007037F9"/>
    <w:rsid w:val="00712FBB"/>
    <w:rsid w:val="00715E2F"/>
    <w:rsid w:val="00723F14"/>
    <w:rsid w:val="00733ACF"/>
    <w:rsid w:val="007758CF"/>
    <w:rsid w:val="007A2FE2"/>
    <w:rsid w:val="007C5E63"/>
    <w:rsid w:val="00832042"/>
    <w:rsid w:val="00867761"/>
    <w:rsid w:val="008807F0"/>
    <w:rsid w:val="008C2C40"/>
    <w:rsid w:val="008C44D5"/>
    <w:rsid w:val="008D6CA1"/>
    <w:rsid w:val="009404A6"/>
    <w:rsid w:val="009462FB"/>
    <w:rsid w:val="00946DBB"/>
    <w:rsid w:val="00947B4A"/>
    <w:rsid w:val="00981574"/>
    <w:rsid w:val="009867FE"/>
    <w:rsid w:val="00986E51"/>
    <w:rsid w:val="009A0624"/>
    <w:rsid w:val="009A5E31"/>
    <w:rsid w:val="009E53BF"/>
    <w:rsid w:val="009F09AC"/>
    <w:rsid w:val="009F41FC"/>
    <w:rsid w:val="009F7248"/>
    <w:rsid w:val="009F730C"/>
    <w:rsid w:val="00A65998"/>
    <w:rsid w:val="00A85527"/>
    <w:rsid w:val="00A931ED"/>
    <w:rsid w:val="00AA1F1F"/>
    <w:rsid w:val="00AB3A1D"/>
    <w:rsid w:val="00AD51C2"/>
    <w:rsid w:val="00AD7704"/>
    <w:rsid w:val="00B11CC9"/>
    <w:rsid w:val="00B277BF"/>
    <w:rsid w:val="00B348DF"/>
    <w:rsid w:val="00B349D0"/>
    <w:rsid w:val="00B5013F"/>
    <w:rsid w:val="00B83FDC"/>
    <w:rsid w:val="00B9478F"/>
    <w:rsid w:val="00BA0641"/>
    <w:rsid w:val="00BE23BD"/>
    <w:rsid w:val="00BF7B06"/>
    <w:rsid w:val="00C10429"/>
    <w:rsid w:val="00C21284"/>
    <w:rsid w:val="00C2165F"/>
    <w:rsid w:val="00C3269F"/>
    <w:rsid w:val="00C32B59"/>
    <w:rsid w:val="00C3482C"/>
    <w:rsid w:val="00C93449"/>
    <w:rsid w:val="00CA2FF6"/>
    <w:rsid w:val="00CB033F"/>
    <w:rsid w:val="00CB777E"/>
    <w:rsid w:val="00CC13F4"/>
    <w:rsid w:val="00CC5C9C"/>
    <w:rsid w:val="00CE1870"/>
    <w:rsid w:val="00CF2A9F"/>
    <w:rsid w:val="00D04702"/>
    <w:rsid w:val="00D065C2"/>
    <w:rsid w:val="00D22577"/>
    <w:rsid w:val="00D37B40"/>
    <w:rsid w:val="00D54031"/>
    <w:rsid w:val="00D87F26"/>
    <w:rsid w:val="00DA79F1"/>
    <w:rsid w:val="00DD3598"/>
    <w:rsid w:val="00DD4D07"/>
    <w:rsid w:val="00DD59B9"/>
    <w:rsid w:val="00DF3593"/>
    <w:rsid w:val="00E32358"/>
    <w:rsid w:val="00E42158"/>
    <w:rsid w:val="00E5616B"/>
    <w:rsid w:val="00E810E3"/>
    <w:rsid w:val="00E8602C"/>
    <w:rsid w:val="00EA0EB2"/>
    <w:rsid w:val="00ED45C6"/>
    <w:rsid w:val="00F25BBC"/>
    <w:rsid w:val="00F37732"/>
    <w:rsid w:val="00F45189"/>
    <w:rsid w:val="00F50035"/>
    <w:rsid w:val="00F5451B"/>
    <w:rsid w:val="00F57EA4"/>
    <w:rsid w:val="00F600B1"/>
    <w:rsid w:val="00F62DCA"/>
    <w:rsid w:val="00F70D15"/>
    <w:rsid w:val="00F719F9"/>
    <w:rsid w:val="00FB0EE2"/>
    <w:rsid w:val="00FB2186"/>
    <w:rsid w:val="00FC2699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2C"/>
    <w:pPr>
      <w:ind w:left="720"/>
      <w:contextualSpacing/>
    </w:pPr>
  </w:style>
  <w:style w:type="table" w:styleId="a4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F35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5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5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5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5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220F"/>
    <w:rPr>
      <w:color w:val="CCCC00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78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478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47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4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2C"/>
    <w:pPr>
      <w:ind w:left="720"/>
      <w:contextualSpacing/>
    </w:pPr>
  </w:style>
  <w:style w:type="table" w:styleId="a4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F35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5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5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5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5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220F"/>
    <w:rPr>
      <w:color w:val="CCCC00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78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478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47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4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ndex.ru/rating3/106991/128676/index.phtml" TargetMode="Externa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F33F-623E-4390-A745-6C0890F1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EDmitrieva</dc:creator>
  <cp:lastModifiedBy>user</cp:lastModifiedBy>
  <cp:revision>3</cp:revision>
  <cp:lastPrinted>2013-11-08T08:12:00Z</cp:lastPrinted>
  <dcterms:created xsi:type="dcterms:W3CDTF">2017-06-05T10:22:00Z</dcterms:created>
  <dcterms:modified xsi:type="dcterms:W3CDTF">2017-06-05T11:31:00Z</dcterms:modified>
</cp:coreProperties>
</file>