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C2" w:rsidRPr="00146A8D" w:rsidRDefault="00AB3A1D" w:rsidP="00D065C2">
      <w:pPr>
        <w:rPr>
          <w:b/>
          <w:sz w:val="24"/>
        </w:rPr>
      </w:pPr>
      <w:r w:rsidRPr="00146A8D">
        <w:rPr>
          <w:b/>
          <w:sz w:val="24"/>
        </w:rPr>
        <w:t xml:space="preserve">РЕЙТИНГ ФЕДЕРАЛЬНЫХ ПРОВАЙДЕРОВ </w:t>
      </w:r>
      <w:r w:rsidRPr="00146A8D">
        <w:rPr>
          <w:b/>
          <w:sz w:val="24"/>
          <w:lang w:val="en-US"/>
        </w:rPr>
        <w:t>INDOOR</w:t>
      </w:r>
      <w:r w:rsidRPr="00146A8D">
        <w:rPr>
          <w:b/>
          <w:sz w:val="24"/>
        </w:rPr>
        <w:t>-</w:t>
      </w:r>
      <w:r w:rsidR="00DF3593" w:rsidRPr="00146A8D">
        <w:rPr>
          <w:b/>
          <w:sz w:val="24"/>
        </w:rPr>
        <w:t>РЕКЛАМЫ 201</w:t>
      </w:r>
      <w:r w:rsidR="00990EFF">
        <w:rPr>
          <w:b/>
          <w:sz w:val="24"/>
        </w:rPr>
        <w:t>4</w:t>
      </w:r>
    </w:p>
    <w:p w:rsidR="00B349D0" w:rsidRPr="00597011" w:rsidRDefault="00B349D0">
      <w:pPr>
        <w:rPr>
          <w:b/>
        </w:rPr>
      </w:pPr>
      <w:r w:rsidRPr="00597011">
        <w:rPr>
          <w:b/>
        </w:rPr>
        <w:t xml:space="preserve">По заказу ассоциации </w:t>
      </w:r>
      <w:r w:rsidRPr="00597011">
        <w:rPr>
          <w:b/>
          <w:lang w:val="en-US"/>
        </w:rPr>
        <w:t>In</w:t>
      </w:r>
      <w:r w:rsidRPr="00597011">
        <w:rPr>
          <w:b/>
        </w:rPr>
        <w:t>+</w:t>
      </w:r>
      <w:r w:rsidRPr="00597011">
        <w:rPr>
          <w:b/>
          <w:lang w:val="en-US"/>
        </w:rPr>
        <w:t>Out</w:t>
      </w:r>
      <w:r w:rsidRPr="00597011">
        <w:rPr>
          <w:b/>
        </w:rPr>
        <w:t xml:space="preserve"> </w:t>
      </w:r>
      <w:r w:rsidR="00CC5C9C" w:rsidRPr="00597011">
        <w:rPr>
          <w:b/>
        </w:rPr>
        <w:t xml:space="preserve">отраслевое издание </w:t>
      </w:r>
      <w:r w:rsidRPr="00597011">
        <w:rPr>
          <w:b/>
          <w:lang w:val="en-US"/>
        </w:rPr>
        <w:t>Adindex</w:t>
      </w:r>
      <w:r w:rsidRPr="00597011">
        <w:rPr>
          <w:b/>
        </w:rPr>
        <w:t>.</w:t>
      </w:r>
      <w:proofErr w:type="spellStart"/>
      <w:r w:rsidRPr="00597011">
        <w:rPr>
          <w:b/>
          <w:lang w:val="en-US"/>
        </w:rPr>
        <w:t>ru</w:t>
      </w:r>
      <w:proofErr w:type="spellEnd"/>
      <w:r w:rsidRPr="00597011">
        <w:rPr>
          <w:b/>
        </w:rPr>
        <w:t xml:space="preserve"> провел</w:t>
      </w:r>
      <w:r w:rsidR="00CC5C9C" w:rsidRPr="00597011">
        <w:rPr>
          <w:b/>
        </w:rPr>
        <w:t>о</w:t>
      </w:r>
      <w:r w:rsidRPr="00597011">
        <w:rPr>
          <w:b/>
        </w:rPr>
        <w:t xml:space="preserve"> исследование </w:t>
      </w:r>
      <w:r w:rsidR="00142730" w:rsidRPr="00597011">
        <w:rPr>
          <w:b/>
        </w:rPr>
        <w:t xml:space="preserve">ключевых сегментов </w:t>
      </w:r>
      <w:r w:rsidR="00142730" w:rsidRPr="00597011">
        <w:rPr>
          <w:b/>
          <w:lang w:val="en-US"/>
        </w:rPr>
        <w:t>indoor</w:t>
      </w:r>
      <w:r w:rsidR="00142730" w:rsidRPr="00597011">
        <w:rPr>
          <w:b/>
        </w:rPr>
        <w:t>-инвентаря и составило рейтинги крупнейших игроков в каждом из них.</w:t>
      </w:r>
    </w:p>
    <w:p w:rsidR="00C10429" w:rsidRPr="00146A8D" w:rsidRDefault="00F719F9">
      <w:r w:rsidRPr="00146A8D">
        <w:t xml:space="preserve">Относительно </w:t>
      </w:r>
      <w:r w:rsidR="00C10429" w:rsidRPr="00146A8D">
        <w:t xml:space="preserve">недавно </w:t>
      </w:r>
      <w:r w:rsidR="00E42158" w:rsidRPr="00146A8D">
        <w:t>появившийся</w:t>
      </w:r>
      <w:r w:rsidR="00C10429" w:rsidRPr="00146A8D">
        <w:t xml:space="preserve"> </w:t>
      </w:r>
      <w:r w:rsidR="00CC5C9C">
        <w:t>коммуникационный сегмент</w:t>
      </w:r>
      <w:r w:rsidR="00C10429" w:rsidRPr="00146A8D">
        <w:t>,</w:t>
      </w:r>
      <w:r w:rsidR="00E42158" w:rsidRPr="00146A8D">
        <w:t xml:space="preserve"> скромный</w:t>
      </w:r>
      <w:r w:rsidR="00C10429" w:rsidRPr="00146A8D">
        <w:t xml:space="preserve"> </w:t>
      </w:r>
      <w:r w:rsidR="00CB777E" w:rsidRPr="00146A8D">
        <w:t xml:space="preserve">начальный </w:t>
      </w:r>
      <w:r w:rsidR="00E42158" w:rsidRPr="00146A8D">
        <w:t>объем</w:t>
      </w:r>
      <w:r w:rsidR="00C10429" w:rsidRPr="00146A8D">
        <w:t xml:space="preserve"> </w:t>
      </w:r>
      <w:r w:rsidR="00E42158" w:rsidRPr="00146A8D">
        <w:t xml:space="preserve">которого </w:t>
      </w:r>
      <w:r w:rsidR="00C10429" w:rsidRPr="00146A8D">
        <w:t>объяснялся риск-потенциалом</w:t>
      </w:r>
      <w:r w:rsidR="00FB0EE2" w:rsidRPr="00146A8D">
        <w:t xml:space="preserve"> </w:t>
      </w:r>
      <w:r w:rsidR="00C10429" w:rsidRPr="00146A8D">
        <w:t xml:space="preserve">новых инструментов, </w:t>
      </w:r>
      <w:r w:rsidRPr="00146A8D">
        <w:t>сейчас заявляет о себе как</w:t>
      </w:r>
      <w:r w:rsidR="00CC5C9C">
        <w:t xml:space="preserve"> серьезная индустрия</w:t>
      </w:r>
      <w:r w:rsidR="00C10429" w:rsidRPr="00146A8D">
        <w:t xml:space="preserve">.  </w:t>
      </w:r>
      <w:r w:rsidR="00E42158" w:rsidRPr="00146A8D">
        <w:t xml:space="preserve">Спрос на </w:t>
      </w:r>
      <w:r w:rsidR="00E42158" w:rsidRPr="00146A8D">
        <w:rPr>
          <w:lang w:val="en-US"/>
        </w:rPr>
        <w:t>indoor</w:t>
      </w:r>
      <w:r w:rsidR="00E42158" w:rsidRPr="00146A8D">
        <w:t>-размещение</w:t>
      </w:r>
      <w:r w:rsidR="00C10429" w:rsidRPr="00146A8D">
        <w:t xml:space="preserve"> подогревается конъюнктурно-правовым напряжением в традиционных каналах коммуникац</w:t>
      </w:r>
      <w:r w:rsidR="00E42158" w:rsidRPr="00146A8D">
        <w:t>ии</w:t>
      </w:r>
      <w:r w:rsidR="00C10429" w:rsidRPr="00146A8D">
        <w:t xml:space="preserve">. </w:t>
      </w:r>
      <w:r w:rsidR="00CB777E" w:rsidRPr="00146A8D">
        <w:t>В этой ситуации остро встает вопрос качества предоставляемых услуг. Спектр предложений и уровень их реализации не всегда соответствует заявленн</w:t>
      </w:r>
      <w:r w:rsidR="00597011">
        <w:t>ому</w:t>
      </w:r>
      <w:r w:rsidR="00CB777E" w:rsidRPr="00146A8D">
        <w:t xml:space="preserve"> компаниями уровню.  Инвентаризация возможностей – актуальная задача, стоящая перед рекламным сообществом</w:t>
      </w:r>
      <w:r w:rsidRPr="00146A8D">
        <w:t xml:space="preserve">, решение которой взяла на себя профессиональная ассоциация </w:t>
      </w:r>
      <w:r w:rsidRPr="00146A8D">
        <w:rPr>
          <w:lang w:val="en-US"/>
        </w:rPr>
        <w:t>In</w:t>
      </w:r>
      <w:r w:rsidRPr="00146A8D">
        <w:t>+</w:t>
      </w:r>
      <w:r w:rsidRPr="00146A8D">
        <w:rPr>
          <w:lang w:val="en-US"/>
        </w:rPr>
        <w:t>Out</w:t>
      </w:r>
      <w:r w:rsidRPr="00146A8D">
        <w:t>, пригласив в качестве независимого аудитора</w:t>
      </w:r>
      <w:r w:rsidR="00CB777E" w:rsidRPr="00146A8D">
        <w:t xml:space="preserve"> </w:t>
      </w:r>
      <w:r w:rsidR="00CB777E" w:rsidRPr="00146A8D">
        <w:rPr>
          <w:lang w:val="en-US"/>
        </w:rPr>
        <w:t>Adindex</w:t>
      </w:r>
      <w:r w:rsidRPr="00146A8D">
        <w:t>.</w:t>
      </w:r>
      <w:proofErr w:type="spellStart"/>
      <w:r w:rsidRPr="00146A8D">
        <w:rPr>
          <w:lang w:val="en-US"/>
        </w:rPr>
        <w:t>ru</w:t>
      </w:r>
      <w:proofErr w:type="spellEnd"/>
      <w:r w:rsidR="00CB777E" w:rsidRPr="00146A8D">
        <w:t>.</w:t>
      </w:r>
    </w:p>
    <w:p w:rsidR="00F719F9" w:rsidRPr="00146A8D" w:rsidRDefault="00867761">
      <w:r w:rsidRPr="00146A8D">
        <w:t xml:space="preserve">Специалистами </w:t>
      </w:r>
      <w:r w:rsidR="00CC5C9C">
        <w:t>издания, ежегодно поставляющего</w:t>
      </w:r>
      <w:r w:rsidRPr="00146A8D">
        <w:t xml:space="preserve"> на рынок главные индустриальные метрики – рейтинги крупнейших рекламодателей, </w:t>
      </w:r>
      <w:proofErr w:type="spellStart"/>
      <w:r w:rsidRPr="00146A8D">
        <w:t>медиабаинговых</w:t>
      </w:r>
      <w:proofErr w:type="spellEnd"/>
      <w:r w:rsidRPr="00146A8D">
        <w:t xml:space="preserve"> агентств, </w:t>
      </w:r>
      <w:r w:rsidRPr="00146A8D">
        <w:rPr>
          <w:lang w:val="en-US"/>
        </w:rPr>
        <w:t>digital</w:t>
      </w:r>
      <w:r w:rsidRPr="00146A8D">
        <w:t>-агентств и др. – была разработана</w:t>
      </w:r>
      <w:r w:rsidR="00F719F9" w:rsidRPr="00146A8D">
        <w:t xml:space="preserve"> методология оценки подрядчиков, </w:t>
      </w:r>
      <w:r w:rsidR="007037F9">
        <w:t>продающих</w:t>
      </w:r>
      <w:r w:rsidR="00F719F9" w:rsidRPr="00146A8D">
        <w:t xml:space="preserve"> рекламные возможности внутре</w:t>
      </w:r>
      <w:r w:rsidRPr="00146A8D">
        <w:t>нних территорий.</w:t>
      </w:r>
    </w:p>
    <w:p w:rsidR="00FB0EE2" w:rsidRDefault="00141B49" w:rsidP="00FB0EE2">
      <w:pPr>
        <w:rPr>
          <w:b/>
          <w:sz w:val="24"/>
        </w:rPr>
      </w:pPr>
      <w:r w:rsidRPr="00146A8D">
        <w:rPr>
          <w:b/>
          <w:sz w:val="24"/>
        </w:rPr>
        <w:t xml:space="preserve">Методология </w:t>
      </w:r>
    </w:p>
    <w:p w:rsidR="00BE23BD" w:rsidRPr="00990EFF" w:rsidRDefault="00BE23BD" w:rsidP="00FB0EE2">
      <w:pPr>
        <w:rPr>
          <w:b/>
          <w:bCs/>
        </w:rPr>
      </w:pPr>
      <w:r w:rsidRPr="00990EFF">
        <w:rPr>
          <w:b/>
          <w:bCs/>
        </w:rPr>
        <w:t xml:space="preserve">Исследование проводилось в </w:t>
      </w:r>
      <w:r w:rsidR="00F600B1" w:rsidRPr="00990EFF">
        <w:rPr>
          <w:b/>
          <w:bCs/>
        </w:rPr>
        <w:t>пять</w:t>
      </w:r>
      <w:r w:rsidRPr="00990EFF">
        <w:rPr>
          <w:b/>
          <w:bCs/>
        </w:rPr>
        <w:t xml:space="preserve"> этап</w:t>
      </w:r>
      <w:r w:rsidR="00F600B1" w:rsidRPr="00990EFF">
        <w:rPr>
          <w:b/>
          <w:bCs/>
        </w:rPr>
        <w:t>ов</w:t>
      </w:r>
    </w:p>
    <w:p w:rsidR="00BE23BD" w:rsidRPr="00BE23BD" w:rsidRDefault="00BE23BD" w:rsidP="00BE23BD">
      <w:pPr>
        <w:pStyle w:val="a3"/>
        <w:numPr>
          <w:ilvl w:val="0"/>
          <w:numId w:val="19"/>
        </w:numPr>
      </w:pPr>
      <w:r w:rsidRPr="00BE23BD">
        <w:t>Уточнение определений</w:t>
      </w:r>
    </w:p>
    <w:p w:rsidR="00BE23BD" w:rsidRDefault="00947B4A" w:rsidP="00BE23BD">
      <w:pPr>
        <w:pStyle w:val="a3"/>
        <w:numPr>
          <w:ilvl w:val="0"/>
          <w:numId w:val="19"/>
        </w:numPr>
      </w:pPr>
      <w:r>
        <w:t xml:space="preserve">Опрос агентств </w:t>
      </w:r>
      <w:proofErr w:type="gramStart"/>
      <w:r>
        <w:t>для ф</w:t>
      </w:r>
      <w:r w:rsidRPr="00BE23BD">
        <w:t>ормирование</w:t>
      </w:r>
      <w:proofErr w:type="gramEnd"/>
      <w:r w:rsidRPr="00BE23BD">
        <w:t xml:space="preserve"> перечня участников</w:t>
      </w:r>
      <w:r w:rsidRPr="00947B4A">
        <w:t xml:space="preserve"> </w:t>
      </w:r>
      <w:r w:rsidRPr="00BE23BD">
        <w:t>рейтинга</w:t>
      </w:r>
    </w:p>
    <w:p w:rsidR="00BE23BD" w:rsidRDefault="00947B4A" w:rsidP="00BE23BD">
      <w:pPr>
        <w:pStyle w:val="a3"/>
        <w:numPr>
          <w:ilvl w:val="0"/>
          <w:numId w:val="19"/>
        </w:numPr>
      </w:pPr>
      <w:r>
        <w:t xml:space="preserve">Опрос операторов – участников рейтинга для актуализации информации об </w:t>
      </w:r>
      <w:r>
        <w:rPr>
          <w:lang w:val="en-US"/>
        </w:rPr>
        <w:t>indoor</w:t>
      </w:r>
      <w:r>
        <w:t>-инвентаре</w:t>
      </w:r>
    </w:p>
    <w:p w:rsidR="00947B4A" w:rsidRDefault="00947B4A" w:rsidP="00BE23BD">
      <w:pPr>
        <w:pStyle w:val="a3"/>
        <w:numPr>
          <w:ilvl w:val="0"/>
          <w:numId w:val="19"/>
        </w:numPr>
      </w:pPr>
      <w:r>
        <w:t xml:space="preserve">Опрос агентств с целью верификации полученной от операторов информации и оценки </w:t>
      </w:r>
      <w:proofErr w:type="spellStart"/>
      <w:r>
        <w:t>баинговой</w:t>
      </w:r>
      <w:proofErr w:type="spellEnd"/>
      <w:r>
        <w:t xml:space="preserve"> экспертизы всех участников рейтинга</w:t>
      </w:r>
    </w:p>
    <w:p w:rsidR="00C32B59" w:rsidRDefault="00C32B59" w:rsidP="00BE23BD">
      <w:pPr>
        <w:pStyle w:val="a3"/>
        <w:numPr>
          <w:ilvl w:val="0"/>
          <w:numId w:val="19"/>
        </w:numPr>
      </w:pPr>
      <w:r>
        <w:t xml:space="preserve">Расчет средней оценки по каждому критерию для </w:t>
      </w:r>
      <w:r w:rsidR="00BA0641">
        <w:t>каждого участника.  ра</w:t>
      </w:r>
      <w:r>
        <w:t>счет финального рейтинга на основе весов значимости по трем экспертизам.</w:t>
      </w:r>
    </w:p>
    <w:p w:rsidR="00947B4A" w:rsidRPr="00BE23BD" w:rsidRDefault="00947B4A" w:rsidP="00947B4A">
      <w:pPr>
        <w:pStyle w:val="a3"/>
      </w:pPr>
    </w:p>
    <w:p w:rsidR="00947B4A" w:rsidRPr="00947B4A" w:rsidRDefault="00947B4A" w:rsidP="00947B4A">
      <w:pPr>
        <w:pStyle w:val="a3"/>
        <w:numPr>
          <w:ilvl w:val="0"/>
          <w:numId w:val="20"/>
        </w:numPr>
        <w:rPr>
          <w:b/>
        </w:rPr>
      </w:pPr>
      <w:r w:rsidRPr="00947B4A">
        <w:rPr>
          <w:b/>
        </w:rPr>
        <w:t>Уточнение определений</w:t>
      </w:r>
    </w:p>
    <w:p w:rsidR="00432E5C" w:rsidRDefault="00432E5C" w:rsidP="00947B4A">
      <w:pPr>
        <w:pStyle w:val="a3"/>
        <w:rPr>
          <w:b/>
        </w:rPr>
      </w:pPr>
      <w:r>
        <w:t xml:space="preserve">Поскольку компании, работающие в сегменте, не всегда являются собственниками продаваемых конструкций, перед запуском исследования были </w:t>
      </w:r>
      <w:r w:rsidR="00947B4A">
        <w:t>сформулированы</w:t>
      </w:r>
      <w:r>
        <w:t xml:space="preserve"> определения, по</w:t>
      </w:r>
      <w:r w:rsidR="00947B4A">
        <w:t>д</w:t>
      </w:r>
      <w:r>
        <w:t xml:space="preserve"> которым</w:t>
      </w:r>
      <w:r w:rsidR="00947B4A">
        <w:t>и</w:t>
      </w:r>
      <w:r>
        <w:t xml:space="preserve"> будут фигурировать в рейтинге </w:t>
      </w:r>
      <w:r w:rsidR="002D3574">
        <w:t>его участники</w:t>
      </w:r>
      <w:r>
        <w:t xml:space="preserve">. Так, бизнес, который связан с эксклюзивными правами на тот или иной инвентарь (находящийся в собственности или продаваемый эксклюзивно), был определен как </w:t>
      </w:r>
      <w:r w:rsidRPr="00947B4A">
        <w:rPr>
          <w:b/>
        </w:rPr>
        <w:t>операторский</w:t>
      </w:r>
      <w:r>
        <w:t>. А действия по об</w:t>
      </w:r>
      <w:bookmarkStart w:id="0" w:name="_GoBack"/>
      <w:bookmarkEnd w:id="0"/>
      <w:r>
        <w:t xml:space="preserve">еспечению всех необходимых закупок по запросу рекламодателей, вне зависимости от статуса владения – </w:t>
      </w:r>
      <w:proofErr w:type="spellStart"/>
      <w:r w:rsidRPr="00947B4A">
        <w:rPr>
          <w:b/>
        </w:rPr>
        <w:t>баинговой</w:t>
      </w:r>
      <w:proofErr w:type="spellEnd"/>
      <w:r w:rsidRPr="00947B4A">
        <w:rPr>
          <w:b/>
        </w:rPr>
        <w:t xml:space="preserve"> экспертизой</w:t>
      </w:r>
      <w:r>
        <w:t xml:space="preserve">. Поэтому, несмотря на то, что </w:t>
      </w:r>
      <w:r w:rsidR="00CE1870">
        <w:t>ряд</w:t>
      </w:r>
      <w:r>
        <w:t xml:space="preserve"> компаний, которые </w:t>
      </w:r>
      <w:r w:rsidR="00CE1870">
        <w:t>являются</w:t>
      </w:r>
      <w:r>
        <w:t xml:space="preserve"> операторами в определенных </w:t>
      </w:r>
      <w:proofErr w:type="gramStart"/>
      <w:r>
        <w:t>сегментах,  предлагают</w:t>
      </w:r>
      <w:proofErr w:type="gramEnd"/>
      <w:r>
        <w:t xml:space="preserve"> размещение и на других инвентарных территориях, оценка операторской экспертизы производилась только по сегментам</w:t>
      </w:r>
      <w:r w:rsidR="00CE1870">
        <w:t>, где они являются «точкой входа» для закупки</w:t>
      </w:r>
      <w:r>
        <w:t xml:space="preserve">. По остальным </w:t>
      </w:r>
      <w:proofErr w:type="spellStart"/>
      <w:r>
        <w:t>аудировалась</w:t>
      </w:r>
      <w:proofErr w:type="spellEnd"/>
      <w:r>
        <w:t xml:space="preserve"> </w:t>
      </w:r>
      <w:proofErr w:type="spellStart"/>
      <w:r>
        <w:t>баинговая</w:t>
      </w:r>
      <w:proofErr w:type="spellEnd"/>
      <w:r>
        <w:t xml:space="preserve"> компетенция – клиентский сервис и бизнес-подход (включая ценовую политику). Подробнее см. </w:t>
      </w:r>
      <w:r w:rsidRPr="00947B4A">
        <w:rPr>
          <w:b/>
        </w:rPr>
        <w:t>Основные определения.</w:t>
      </w:r>
    </w:p>
    <w:p w:rsidR="00947B4A" w:rsidRPr="00146A8D" w:rsidRDefault="00947B4A" w:rsidP="00947B4A">
      <w:pPr>
        <w:pStyle w:val="a3"/>
      </w:pPr>
    </w:p>
    <w:p w:rsidR="00947B4A" w:rsidRPr="00947B4A" w:rsidRDefault="00947B4A" w:rsidP="00947B4A">
      <w:pPr>
        <w:pStyle w:val="a3"/>
        <w:numPr>
          <w:ilvl w:val="0"/>
          <w:numId w:val="20"/>
        </w:numPr>
        <w:rPr>
          <w:b/>
        </w:rPr>
      </w:pPr>
      <w:r>
        <w:rPr>
          <w:b/>
        </w:rPr>
        <w:t>Формирование списка участников рейтинга</w:t>
      </w:r>
    </w:p>
    <w:p w:rsidR="00D065C2" w:rsidRPr="00146A8D" w:rsidRDefault="00141B49" w:rsidP="00947B4A">
      <w:pPr>
        <w:pStyle w:val="a3"/>
      </w:pPr>
      <w:r>
        <w:t xml:space="preserve">На </w:t>
      </w:r>
      <w:r w:rsidR="00947B4A">
        <w:rPr>
          <w:b/>
        </w:rPr>
        <w:t>втором</w:t>
      </w:r>
      <w:r w:rsidRPr="00947B4A">
        <w:rPr>
          <w:b/>
        </w:rPr>
        <w:t xml:space="preserve"> этапе</w:t>
      </w:r>
      <w:r>
        <w:t xml:space="preserve"> был сформирован перечень крупнейших игроков </w:t>
      </w:r>
      <w:r w:rsidR="00CE1870">
        <w:t xml:space="preserve">(операторов и </w:t>
      </w:r>
      <w:proofErr w:type="spellStart"/>
      <w:r w:rsidR="00CE1870">
        <w:t>байеров</w:t>
      </w:r>
      <w:proofErr w:type="spellEnd"/>
      <w:r w:rsidR="00CE1870">
        <w:t xml:space="preserve">) </w:t>
      </w:r>
      <w:r>
        <w:t>в 11 инвентарных направлениях:</w:t>
      </w:r>
    </w:p>
    <w:p w:rsidR="00141B49" w:rsidRDefault="00141B49" w:rsidP="00141B49">
      <w:pPr>
        <w:pStyle w:val="a3"/>
        <w:numPr>
          <w:ilvl w:val="0"/>
          <w:numId w:val="18"/>
        </w:numPr>
        <w:sectPr w:rsidR="00141B49" w:rsidSect="00F600B1">
          <w:type w:val="continuous"/>
          <w:pgSz w:w="11906" w:h="16838"/>
          <w:pgMar w:top="568" w:right="282" w:bottom="851" w:left="1276" w:header="708" w:footer="708" w:gutter="0"/>
          <w:cols w:space="283"/>
          <w:docGrid w:linePitch="360"/>
        </w:sectPr>
      </w:pPr>
    </w:p>
    <w:p w:rsidR="00D87F26" w:rsidRPr="00146A8D" w:rsidRDefault="00D87F26" w:rsidP="00F600B1">
      <w:pPr>
        <w:pStyle w:val="a3"/>
        <w:numPr>
          <w:ilvl w:val="0"/>
          <w:numId w:val="18"/>
        </w:numPr>
        <w:ind w:right="-189"/>
      </w:pPr>
      <w:r w:rsidRPr="00146A8D">
        <w:t>Аэропорты</w:t>
      </w:r>
    </w:p>
    <w:p w:rsidR="00D87F26" w:rsidRPr="00146A8D" w:rsidRDefault="0027517C" w:rsidP="00F600B1">
      <w:pPr>
        <w:pStyle w:val="a3"/>
        <w:numPr>
          <w:ilvl w:val="0"/>
          <w:numId w:val="18"/>
        </w:numPr>
        <w:ind w:right="-189"/>
      </w:pPr>
      <w:r w:rsidRPr="00146A8D">
        <w:t>Транспортная инфраструктура</w:t>
      </w:r>
    </w:p>
    <w:p w:rsidR="00D87F26" w:rsidRPr="00146A8D" w:rsidRDefault="00D87F26" w:rsidP="00F600B1">
      <w:pPr>
        <w:pStyle w:val="a3"/>
        <w:numPr>
          <w:ilvl w:val="0"/>
          <w:numId w:val="18"/>
        </w:numPr>
        <w:ind w:right="-189"/>
      </w:pPr>
      <w:r w:rsidRPr="00146A8D">
        <w:t>Кинотеатры</w:t>
      </w:r>
    </w:p>
    <w:p w:rsidR="00D87F26" w:rsidRPr="00146A8D" w:rsidRDefault="00D87F26" w:rsidP="00F600B1">
      <w:pPr>
        <w:pStyle w:val="a3"/>
        <w:numPr>
          <w:ilvl w:val="0"/>
          <w:numId w:val="18"/>
        </w:numPr>
        <w:ind w:right="-189"/>
      </w:pPr>
      <w:r w:rsidRPr="00146A8D">
        <w:t>Бизнес-центры</w:t>
      </w:r>
    </w:p>
    <w:p w:rsidR="00D87F26" w:rsidRPr="00146A8D" w:rsidRDefault="00D87F26" w:rsidP="00F600B1">
      <w:pPr>
        <w:pStyle w:val="a3"/>
        <w:numPr>
          <w:ilvl w:val="0"/>
          <w:numId w:val="18"/>
        </w:numPr>
        <w:ind w:right="-189"/>
      </w:pPr>
      <w:r w:rsidRPr="00146A8D">
        <w:t>Образовательные учреждения</w:t>
      </w:r>
    </w:p>
    <w:p w:rsidR="00D87F26" w:rsidRPr="00146A8D" w:rsidRDefault="00141B49" w:rsidP="00F600B1">
      <w:pPr>
        <w:pStyle w:val="a3"/>
        <w:numPr>
          <w:ilvl w:val="0"/>
          <w:numId w:val="18"/>
        </w:numPr>
        <w:ind w:right="-189"/>
      </w:pPr>
      <w:r>
        <w:t xml:space="preserve">Торгово-развлекательные </w:t>
      </w:r>
      <w:r w:rsidR="00D87F26" w:rsidRPr="00146A8D">
        <w:t>центры</w:t>
      </w:r>
    </w:p>
    <w:p w:rsidR="00D87F26" w:rsidRPr="00146A8D" w:rsidRDefault="0027517C" w:rsidP="00F600B1">
      <w:pPr>
        <w:pStyle w:val="a3"/>
        <w:numPr>
          <w:ilvl w:val="0"/>
          <w:numId w:val="18"/>
        </w:numPr>
        <w:ind w:right="-189"/>
      </w:pPr>
      <w:r w:rsidRPr="00146A8D">
        <w:t>Торговые</w:t>
      </w:r>
      <w:r w:rsidR="00D87F26" w:rsidRPr="00146A8D">
        <w:t xml:space="preserve"> сети</w:t>
      </w:r>
    </w:p>
    <w:p w:rsidR="00D87F26" w:rsidRPr="00146A8D" w:rsidRDefault="00DF3593" w:rsidP="00F600B1">
      <w:pPr>
        <w:pStyle w:val="a3"/>
        <w:numPr>
          <w:ilvl w:val="0"/>
          <w:numId w:val="18"/>
        </w:numPr>
        <w:ind w:right="-189"/>
      </w:pPr>
      <w:r w:rsidRPr="00146A8D">
        <w:t>Спортивные комплексы, ф</w:t>
      </w:r>
      <w:r w:rsidR="00D87F26" w:rsidRPr="00146A8D">
        <w:t>итне</w:t>
      </w:r>
      <w:r w:rsidR="00C3482C" w:rsidRPr="00146A8D">
        <w:t>с</w:t>
      </w:r>
      <w:r w:rsidR="00D87F26" w:rsidRPr="00146A8D">
        <w:t>-центры</w:t>
      </w:r>
    </w:p>
    <w:p w:rsidR="00D87F26" w:rsidRPr="00146A8D" w:rsidRDefault="00141B49" w:rsidP="00F600B1">
      <w:pPr>
        <w:pStyle w:val="a3"/>
        <w:numPr>
          <w:ilvl w:val="0"/>
          <w:numId w:val="18"/>
        </w:numPr>
        <w:ind w:right="-189"/>
      </w:pPr>
      <w:r>
        <w:t xml:space="preserve">Аптеки и </w:t>
      </w:r>
      <w:proofErr w:type="spellStart"/>
      <w:r>
        <w:t>л</w:t>
      </w:r>
      <w:r w:rsidR="00F600B1">
        <w:t>еч</w:t>
      </w:r>
      <w:proofErr w:type="spellEnd"/>
      <w:r w:rsidR="0027517C" w:rsidRPr="00146A8D">
        <w:t>-проф</w:t>
      </w:r>
      <w:r w:rsidR="00F600B1">
        <w:t>.</w:t>
      </w:r>
      <w:r w:rsidR="0027517C" w:rsidRPr="00146A8D">
        <w:t xml:space="preserve"> учреждения</w:t>
      </w:r>
    </w:p>
    <w:p w:rsidR="00D87F26" w:rsidRPr="00146A8D" w:rsidRDefault="00D87F26" w:rsidP="00F600B1">
      <w:pPr>
        <w:pStyle w:val="a3"/>
        <w:numPr>
          <w:ilvl w:val="0"/>
          <w:numId w:val="18"/>
        </w:numPr>
        <w:ind w:right="-189"/>
      </w:pPr>
      <w:proofErr w:type="spellStart"/>
      <w:r w:rsidRPr="00146A8D">
        <w:rPr>
          <w:lang w:val="en-US"/>
        </w:rPr>
        <w:t>HoReCa</w:t>
      </w:r>
      <w:proofErr w:type="spellEnd"/>
    </w:p>
    <w:p w:rsidR="00F600B1" w:rsidRDefault="00D87F26" w:rsidP="00F600B1">
      <w:pPr>
        <w:pStyle w:val="a3"/>
        <w:numPr>
          <w:ilvl w:val="0"/>
          <w:numId w:val="18"/>
        </w:numPr>
        <w:ind w:right="-189"/>
        <w:sectPr w:rsidR="00F600B1" w:rsidSect="00F600B1">
          <w:type w:val="continuous"/>
          <w:pgSz w:w="11906" w:h="16838"/>
          <w:pgMar w:top="567" w:right="850" w:bottom="1134" w:left="1276" w:header="708" w:footer="708" w:gutter="0"/>
          <w:cols w:num="3" w:space="212"/>
          <w:docGrid w:linePitch="360"/>
        </w:sectPr>
      </w:pPr>
      <w:r w:rsidRPr="00146A8D">
        <w:t>Жилые</w:t>
      </w:r>
      <w:r w:rsidR="0027517C" w:rsidRPr="00146A8D">
        <w:t xml:space="preserve"> </w:t>
      </w:r>
      <w:r w:rsidR="00F600B1">
        <w:t>здания</w:t>
      </w:r>
    </w:p>
    <w:p w:rsidR="00EA0EB2" w:rsidRDefault="00FC2699" w:rsidP="00F600B1">
      <w:pPr>
        <w:ind w:left="-142"/>
      </w:pPr>
      <w:r>
        <w:lastRenderedPageBreak/>
        <w:t>Д</w:t>
      </w:r>
      <w:r w:rsidR="00697103">
        <w:t>ля этого</w:t>
      </w:r>
      <w:r w:rsidR="00986E51">
        <w:t xml:space="preserve"> </w:t>
      </w:r>
      <w:r>
        <w:t>крупнейши</w:t>
      </w:r>
      <w:r w:rsidR="00F600B1">
        <w:t xml:space="preserve">х </w:t>
      </w:r>
      <w:r>
        <w:t>заказчик</w:t>
      </w:r>
      <w:r w:rsidR="00F600B1">
        <w:t>ов</w:t>
      </w:r>
      <w:r>
        <w:t xml:space="preserve"> </w:t>
      </w:r>
      <w:r>
        <w:rPr>
          <w:lang w:val="en-US"/>
        </w:rPr>
        <w:t>Indoor</w:t>
      </w:r>
      <w:r w:rsidRPr="00FC2699">
        <w:t>-</w:t>
      </w:r>
      <w:r>
        <w:t xml:space="preserve">рекламы </w:t>
      </w:r>
      <w:r w:rsidR="00F600B1">
        <w:t>(</w:t>
      </w:r>
      <w:r>
        <w:t>рекламные агентства, закупа</w:t>
      </w:r>
      <w:r w:rsidR="00F600B1">
        <w:t>ющие рекламу для своих клиентов</w:t>
      </w:r>
      <w:proofErr w:type="gramStart"/>
      <w:r w:rsidR="00F600B1">
        <w:t>)</w:t>
      </w:r>
      <w:proofErr w:type="gramEnd"/>
      <w:r w:rsidR="00F600B1">
        <w:t xml:space="preserve"> попросили</w:t>
      </w:r>
      <w:r w:rsidR="00697103">
        <w:t xml:space="preserve"> назвать подрядчиков </w:t>
      </w:r>
      <w:r w:rsidR="00CE1870">
        <w:t xml:space="preserve">(операторов и </w:t>
      </w:r>
      <w:proofErr w:type="spellStart"/>
      <w:r w:rsidR="00CE1870">
        <w:t>байеров</w:t>
      </w:r>
      <w:proofErr w:type="spellEnd"/>
      <w:r w:rsidR="00CE1870">
        <w:t xml:space="preserve"> отдельно) </w:t>
      </w:r>
      <w:r w:rsidR="00697103">
        <w:t xml:space="preserve">по </w:t>
      </w:r>
      <w:r w:rsidR="00697103">
        <w:rPr>
          <w:lang w:val="en-US"/>
        </w:rPr>
        <w:t>indoor</w:t>
      </w:r>
      <w:r w:rsidR="00697103">
        <w:t>-инвентарю, с которыми они сотрудничали в 2013 в каждом из сегментов.</w:t>
      </w:r>
      <w:r w:rsidR="00CE1870">
        <w:t xml:space="preserve"> Анкетирование было открытым, т.е. агентствам предлагался список компаний, предварительно составленный экспертной коллегией </w:t>
      </w:r>
      <w:r w:rsidR="00CE1870">
        <w:rPr>
          <w:lang w:val="en-US"/>
        </w:rPr>
        <w:t>In</w:t>
      </w:r>
      <w:r w:rsidR="00CE1870" w:rsidRPr="00CE1870">
        <w:t>+</w:t>
      </w:r>
      <w:r w:rsidR="00CE1870">
        <w:rPr>
          <w:lang w:val="en-US"/>
        </w:rPr>
        <w:t>Out</w:t>
      </w:r>
      <w:r w:rsidR="00CE1870">
        <w:t xml:space="preserve">, с возможностью добавления других подрядчиков. </w:t>
      </w:r>
      <w:r w:rsidR="00697103">
        <w:t xml:space="preserve">В результате были сформированы </w:t>
      </w:r>
      <w:r w:rsidR="00697103" w:rsidRPr="001761D0">
        <w:rPr>
          <w:b/>
        </w:rPr>
        <w:t xml:space="preserve">перечни крупнейших владельцев и </w:t>
      </w:r>
      <w:r w:rsidR="00111441">
        <w:rPr>
          <w:b/>
        </w:rPr>
        <w:t>байеров</w:t>
      </w:r>
      <w:r w:rsidR="00697103">
        <w:t xml:space="preserve">, куда вошли компании, сотрудничество с которыми подтвердили более 5% опрошенных специалистов. </w:t>
      </w:r>
      <w:r w:rsidR="001761D0">
        <w:t xml:space="preserve">Именно </w:t>
      </w:r>
      <w:r w:rsidR="00093BB5">
        <w:t>эти перечни легли в основу</w:t>
      </w:r>
      <w:r w:rsidR="001761D0">
        <w:t xml:space="preserve"> </w:t>
      </w:r>
      <w:r w:rsidR="00093BB5">
        <w:t xml:space="preserve">дальнейшего анкетирования (второй этап) и ранжирования (третий этап) </w:t>
      </w:r>
      <w:r w:rsidR="001761D0">
        <w:rPr>
          <w:lang w:val="en-US"/>
        </w:rPr>
        <w:t>indoor</w:t>
      </w:r>
      <w:r w:rsidR="001761D0" w:rsidRPr="00093BB5">
        <w:t>-</w:t>
      </w:r>
      <w:r w:rsidR="001761D0">
        <w:t>провайдеров.</w:t>
      </w:r>
    </w:p>
    <w:p w:rsidR="00F600B1" w:rsidRPr="004E7905" w:rsidRDefault="00F600B1" w:rsidP="00F600B1">
      <w:pPr>
        <w:rPr>
          <w:b/>
        </w:rPr>
      </w:pPr>
      <w:r w:rsidRPr="004E7905">
        <w:rPr>
          <w:b/>
        </w:rPr>
        <w:t>Компании, вошедшие в исследование</w:t>
      </w:r>
      <w:r>
        <w:rPr>
          <w:b/>
        </w:rPr>
        <w:t xml:space="preserve"> (фигуранты рейтинга)</w:t>
      </w:r>
      <w:r w:rsidRPr="004E7905">
        <w:rPr>
          <w:b/>
        </w:rPr>
        <w:t>:</w:t>
      </w:r>
    </w:p>
    <w:p w:rsidR="00F600B1" w:rsidRPr="004E7905" w:rsidRDefault="00F600B1" w:rsidP="00F600B1">
      <w:pPr>
        <w:rPr>
          <w:b/>
        </w:rPr>
        <w:sectPr w:rsidR="00F600B1" w:rsidRPr="004E7905" w:rsidSect="00F600B1">
          <w:type w:val="continuous"/>
          <w:pgSz w:w="11906" w:h="16838"/>
          <w:pgMar w:top="709" w:right="566" w:bottom="1134" w:left="1560" w:header="708" w:footer="708" w:gutter="0"/>
          <w:cols w:space="708"/>
          <w:docGrid w:linePitch="360"/>
        </w:sectPr>
      </w:pP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1VG (1-</w:t>
      </w:r>
      <w:r w:rsidRPr="00F600B1">
        <w:rPr>
          <w:sz w:val="20"/>
        </w:rPr>
        <w:t>й</w:t>
      </w:r>
      <w:r w:rsidRPr="00F600B1">
        <w:rPr>
          <w:sz w:val="20"/>
          <w:lang w:val="en-US"/>
        </w:rPr>
        <w:t xml:space="preserve"> </w:t>
      </w:r>
      <w:proofErr w:type="spellStart"/>
      <w:r w:rsidRPr="00F600B1">
        <w:rPr>
          <w:sz w:val="20"/>
        </w:rPr>
        <w:t>Видеоглянец</w:t>
      </w:r>
      <w:proofErr w:type="spellEnd"/>
      <w:r w:rsidRPr="00F600B1">
        <w:rPr>
          <w:sz w:val="20"/>
          <w:lang w:val="en-US"/>
        </w:rPr>
        <w:t>)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Advance Group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AIZMEDIA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proofErr w:type="spellStart"/>
      <w:r w:rsidRPr="00F600B1">
        <w:rPr>
          <w:sz w:val="20"/>
          <w:lang w:val="en-US"/>
        </w:rPr>
        <w:t>Ambitica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AMS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proofErr w:type="spellStart"/>
      <w:r w:rsidRPr="00F600B1">
        <w:rPr>
          <w:sz w:val="20"/>
          <w:lang w:val="en-US"/>
        </w:rPr>
        <w:t>Beetl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Center-Point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Cinema360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proofErr w:type="spellStart"/>
      <w:r w:rsidRPr="00F600B1">
        <w:rPr>
          <w:sz w:val="20"/>
          <w:lang w:val="en-US"/>
        </w:rPr>
        <w:t>Clumba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Cream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ELKA-Media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Fine Decision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Fitness Media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Formula Media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Fresh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Indoor Group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proofErr w:type="spellStart"/>
      <w:r w:rsidRPr="00F600B1">
        <w:rPr>
          <w:sz w:val="20"/>
          <w:lang w:val="en-US"/>
        </w:rPr>
        <w:t>LisChannel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proofErr w:type="spellStart"/>
      <w:r w:rsidRPr="00F600B1">
        <w:rPr>
          <w:sz w:val="20"/>
          <w:lang w:val="en-US"/>
        </w:rPr>
        <w:t>MaxMediaGroup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Mirror TV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MOBD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Novikov Group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Prime Media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Russ Indoor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SHAKO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Sport Media Group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 xml:space="preserve">VI </w:t>
      </w:r>
      <w:proofErr w:type="spellStart"/>
      <w:r w:rsidRPr="00F600B1">
        <w:rPr>
          <w:sz w:val="20"/>
          <w:lang w:val="en-US"/>
        </w:rPr>
        <w:t>Plazma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  <w:lang w:val="en-US"/>
        </w:rPr>
        <w:t>Vita Media Group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  <w:lang w:val="en-US"/>
        </w:rPr>
      </w:pPr>
      <w:r w:rsidRPr="00F600B1">
        <w:rPr>
          <w:sz w:val="20"/>
        </w:rPr>
        <w:t>Авто</w:t>
      </w:r>
      <w:r w:rsidRPr="00F600B1">
        <w:rPr>
          <w:sz w:val="20"/>
          <w:lang w:val="en-US"/>
        </w:rPr>
        <w:t>-</w:t>
      </w:r>
      <w:proofErr w:type="spellStart"/>
      <w:r w:rsidRPr="00F600B1">
        <w:rPr>
          <w:sz w:val="20"/>
        </w:rPr>
        <w:t>селл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proofErr w:type="spellStart"/>
      <w:r w:rsidRPr="00F600B1">
        <w:rPr>
          <w:sz w:val="20"/>
        </w:rPr>
        <w:t>Алми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proofErr w:type="spellStart"/>
      <w:r w:rsidRPr="00F600B1">
        <w:rPr>
          <w:sz w:val="20"/>
        </w:rPr>
        <w:t>Альмакор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proofErr w:type="spellStart"/>
      <w:r w:rsidRPr="00F600B1">
        <w:rPr>
          <w:sz w:val="20"/>
        </w:rPr>
        <w:t>Аэрогрупп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Аэроэкспресс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proofErr w:type="spellStart"/>
      <w:r w:rsidRPr="00F600B1">
        <w:rPr>
          <w:sz w:val="20"/>
        </w:rPr>
        <w:t>Брайт</w:t>
      </w:r>
      <w:proofErr w:type="spellEnd"/>
      <w:r w:rsidRPr="00F600B1">
        <w:rPr>
          <w:sz w:val="20"/>
        </w:rPr>
        <w:t xml:space="preserve"> (</w:t>
      </w:r>
      <w:proofErr w:type="spellStart"/>
      <w:r w:rsidRPr="00F600B1">
        <w:rPr>
          <w:sz w:val="20"/>
        </w:rPr>
        <w:t>Аутдор</w:t>
      </w:r>
      <w:proofErr w:type="spellEnd"/>
      <w:r w:rsidRPr="00F600B1">
        <w:rPr>
          <w:sz w:val="20"/>
        </w:rPr>
        <w:t>-Сити)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Вертикаль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proofErr w:type="spellStart"/>
      <w:r w:rsidRPr="00F600B1">
        <w:rPr>
          <w:sz w:val="20"/>
        </w:rPr>
        <w:t>Здравпросвет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proofErr w:type="spellStart"/>
      <w:r w:rsidRPr="00F600B1">
        <w:rPr>
          <w:sz w:val="20"/>
        </w:rPr>
        <w:t>Лайса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Мартин Иден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Маршрут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proofErr w:type="spellStart"/>
      <w:r w:rsidRPr="00F600B1">
        <w:rPr>
          <w:sz w:val="20"/>
        </w:rPr>
        <w:t>Машреклама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Мега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МОРС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proofErr w:type="spellStart"/>
      <w:r w:rsidRPr="00F600B1">
        <w:rPr>
          <w:sz w:val="20"/>
        </w:rPr>
        <w:t>Мосректорг</w:t>
      </w:r>
      <w:proofErr w:type="spellEnd"/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Нью-Тон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Проспект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Реклама в дом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Реклама Сервис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Стоик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proofErr w:type="spellStart"/>
      <w:r w:rsidRPr="00F600B1">
        <w:rPr>
          <w:sz w:val="20"/>
        </w:rPr>
        <w:t>Ташир</w:t>
      </w:r>
      <w:proofErr w:type="spellEnd"/>
      <w:r w:rsidRPr="00F600B1">
        <w:rPr>
          <w:sz w:val="20"/>
        </w:rPr>
        <w:t xml:space="preserve"> Медиа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УК Адамант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Университет-ТВ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</w:pPr>
      <w:r w:rsidRPr="00F600B1">
        <w:rPr>
          <w:sz w:val="20"/>
        </w:rPr>
        <w:t>Фокус-Медиа</w:t>
      </w:r>
    </w:p>
    <w:p w:rsidR="00F600B1" w:rsidRPr="00F600B1" w:rsidRDefault="00F600B1" w:rsidP="00F600B1">
      <w:pPr>
        <w:pStyle w:val="a3"/>
        <w:numPr>
          <w:ilvl w:val="0"/>
          <w:numId w:val="24"/>
        </w:numPr>
        <w:spacing w:after="0" w:line="240" w:lineRule="atLeast"/>
        <w:rPr>
          <w:sz w:val="20"/>
        </w:rPr>
        <w:sectPr w:rsidR="00F600B1" w:rsidRPr="00F600B1" w:rsidSect="00F600B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F600B1">
        <w:rPr>
          <w:sz w:val="20"/>
        </w:rPr>
        <w:t>Чистый Город</w:t>
      </w:r>
    </w:p>
    <w:p w:rsidR="00F600B1" w:rsidRDefault="00F600B1" w:rsidP="00DF3593"/>
    <w:p w:rsidR="00141B49" w:rsidRPr="00F600B1" w:rsidRDefault="00BE23BD" w:rsidP="00DF3593">
      <w:r>
        <w:t>Всего</w:t>
      </w:r>
      <w:r w:rsidRPr="00F600B1">
        <w:t xml:space="preserve"> </w:t>
      </w:r>
      <w:r>
        <w:t>в</w:t>
      </w:r>
      <w:r w:rsidR="00572787" w:rsidRPr="00F600B1">
        <w:t xml:space="preserve"> </w:t>
      </w:r>
      <w:r w:rsidR="00572787">
        <w:t>опросе</w:t>
      </w:r>
      <w:r w:rsidR="00F600B1">
        <w:t xml:space="preserve"> по формированию перечня и дальнейшей оценки</w:t>
      </w:r>
      <w:r w:rsidR="00572787" w:rsidRPr="00F600B1">
        <w:t xml:space="preserve"> </w:t>
      </w:r>
      <w:r w:rsidR="00572787">
        <w:t>приняли</w:t>
      </w:r>
      <w:r w:rsidR="00572787" w:rsidRPr="00F600B1">
        <w:t xml:space="preserve"> </w:t>
      </w:r>
      <w:r w:rsidR="00572787">
        <w:t>участие</w:t>
      </w:r>
      <w:r w:rsidR="00572787" w:rsidRPr="00F600B1">
        <w:t xml:space="preserve"> </w:t>
      </w:r>
      <w:r w:rsidR="00572787" w:rsidRPr="00F600B1">
        <w:rPr>
          <w:b/>
        </w:rPr>
        <w:t xml:space="preserve">50 </w:t>
      </w:r>
      <w:r w:rsidR="00986E51" w:rsidRPr="00F600B1">
        <w:rPr>
          <w:b/>
          <w:lang w:val="en-US"/>
        </w:rPr>
        <w:t>indoor</w:t>
      </w:r>
      <w:r w:rsidR="00986E51" w:rsidRPr="00F600B1">
        <w:rPr>
          <w:b/>
        </w:rPr>
        <w:t>-</w:t>
      </w:r>
      <w:proofErr w:type="spellStart"/>
      <w:r w:rsidR="00986E51" w:rsidRPr="00F600B1">
        <w:rPr>
          <w:b/>
        </w:rPr>
        <w:t>байеров</w:t>
      </w:r>
      <w:proofErr w:type="spellEnd"/>
      <w:r w:rsidR="00572787" w:rsidRPr="00F600B1">
        <w:rPr>
          <w:b/>
        </w:rPr>
        <w:t xml:space="preserve"> из 2</w:t>
      </w:r>
      <w:r w:rsidR="00986E51" w:rsidRPr="00F600B1">
        <w:rPr>
          <w:b/>
        </w:rPr>
        <w:t>5</w:t>
      </w:r>
      <w:r w:rsidR="00572787" w:rsidRPr="00F600B1">
        <w:rPr>
          <w:b/>
        </w:rPr>
        <w:t xml:space="preserve"> </w:t>
      </w:r>
      <w:r w:rsidR="00986E51" w:rsidRPr="00F600B1">
        <w:rPr>
          <w:b/>
        </w:rPr>
        <w:t>агентств и групп</w:t>
      </w:r>
      <w:r w:rsidR="00572787" w:rsidRPr="00F600B1">
        <w:t xml:space="preserve">: </w:t>
      </w:r>
      <w:proofErr w:type="spellStart"/>
      <w:r w:rsidR="00986E51" w:rsidRPr="00986E51">
        <w:rPr>
          <w:lang w:val="en-US"/>
        </w:rPr>
        <w:t>Ambitica</w:t>
      </w:r>
      <w:proofErr w:type="spellEnd"/>
      <w:r w:rsidR="00986E51" w:rsidRPr="00F600B1">
        <w:t xml:space="preserve">, </w:t>
      </w:r>
      <w:proofErr w:type="spellStart"/>
      <w:r w:rsidR="00986E51" w:rsidRPr="00986E51">
        <w:rPr>
          <w:lang w:val="en-US"/>
        </w:rPr>
        <w:t>Clumba</w:t>
      </w:r>
      <w:proofErr w:type="spellEnd"/>
      <w:r w:rsidR="00986E51" w:rsidRPr="00F600B1">
        <w:t xml:space="preserve">, </w:t>
      </w:r>
      <w:r w:rsidR="00986E51" w:rsidRPr="00986E51">
        <w:rPr>
          <w:lang w:val="en-US"/>
        </w:rPr>
        <w:t>Code</w:t>
      </w:r>
      <w:r w:rsidR="00986E51" w:rsidRPr="00F600B1">
        <w:t xml:space="preserve"> </w:t>
      </w:r>
      <w:r w:rsidR="00986E51" w:rsidRPr="00986E51">
        <w:rPr>
          <w:lang w:val="en-US"/>
        </w:rPr>
        <w:t>of</w:t>
      </w:r>
      <w:r w:rsidR="00986E51" w:rsidRPr="00F600B1">
        <w:t xml:space="preserve"> </w:t>
      </w:r>
      <w:r w:rsidR="00986E51" w:rsidRPr="00986E51">
        <w:rPr>
          <w:lang w:val="en-US"/>
        </w:rPr>
        <w:t>Trade</w:t>
      </w:r>
      <w:r w:rsidR="00986E51" w:rsidRPr="00F600B1">
        <w:t xml:space="preserve">, </w:t>
      </w:r>
      <w:proofErr w:type="spellStart"/>
      <w:r w:rsidR="00986E51" w:rsidRPr="00986E51">
        <w:rPr>
          <w:lang w:val="en-US"/>
        </w:rPr>
        <w:t>Dentsu</w:t>
      </w:r>
      <w:proofErr w:type="spellEnd"/>
      <w:r w:rsidR="00986E51" w:rsidRPr="00F600B1">
        <w:t>-</w:t>
      </w:r>
      <w:r w:rsidR="00986E51" w:rsidRPr="00986E51">
        <w:rPr>
          <w:lang w:val="en-US"/>
        </w:rPr>
        <w:t>Smart</w:t>
      </w:r>
      <w:r w:rsidR="00986E51" w:rsidRPr="00F600B1">
        <w:t xml:space="preserve">, </w:t>
      </w:r>
      <w:r w:rsidR="00986E51" w:rsidRPr="00986E51">
        <w:rPr>
          <w:lang w:val="en-US"/>
        </w:rPr>
        <w:t>DVG</w:t>
      </w:r>
      <w:r w:rsidR="00986E51" w:rsidRPr="00F600B1">
        <w:t xml:space="preserve"> </w:t>
      </w:r>
      <w:r w:rsidR="00986E51" w:rsidRPr="00986E51">
        <w:rPr>
          <w:lang w:val="en-US"/>
        </w:rPr>
        <w:t>Media</w:t>
      </w:r>
      <w:r w:rsidR="00986E51" w:rsidRPr="00F600B1">
        <w:t xml:space="preserve">, </w:t>
      </w:r>
      <w:r w:rsidR="00986E51" w:rsidRPr="00986E51">
        <w:rPr>
          <w:lang w:val="en-US"/>
        </w:rPr>
        <w:t>Fuse</w:t>
      </w:r>
      <w:r w:rsidR="00986E51" w:rsidRPr="00F600B1">
        <w:t xml:space="preserve"> </w:t>
      </w:r>
      <w:r w:rsidR="00986E51" w:rsidRPr="00986E51">
        <w:rPr>
          <w:lang w:val="en-US"/>
        </w:rPr>
        <w:t>OMD</w:t>
      </w:r>
      <w:r w:rsidR="00986E51" w:rsidRPr="00F600B1">
        <w:t xml:space="preserve">, </w:t>
      </w:r>
      <w:r w:rsidR="00986E51" w:rsidRPr="00986E51">
        <w:rPr>
          <w:lang w:val="en-US"/>
        </w:rPr>
        <w:t>Havas</w:t>
      </w:r>
      <w:r w:rsidR="00986E51" w:rsidRPr="00F600B1">
        <w:t xml:space="preserve"> </w:t>
      </w:r>
      <w:r w:rsidR="00986E51" w:rsidRPr="00986E51">
        <w:rPr>
          <w:lang w:val="en-US"/>
        </w:rPr>
        <w:t>Media</w:t>
      </w:r>
      <w:r w:rsidR="00986E51" w:rsidRPr="00F600B1">
        <w:t xml:space="preserve">, </w:t>
      </w:r>
      <w:proofErr w:type="spellStart"/>
      <w:r w:rsidR="00986E51" w:rsidRPr="00986E51">
        <w:rPr>
          <w:lang w:val="en-US"/>
        </w:rPr>
        <w:t>Immedia</w:t>
      </w:r>
      <w:proofErr w:type="spellEnd"/>
      <w:r w:rsidR="00986E51" w:rsidRPr="00F600B1">
        <w:t xml:space="preserve"> </w:t>
      </w:r>
      <w:r w:rsidR="00986E51" w:rsidRPr="00986E51">
        <w:rPr>
          <w:lang w:val="en-US"/>
        </w:rPr>
        <w:t>Holding</w:t>
      </w:r>
      <w:r w:rsidR="00986E51" w:rsidRPr="00F600B1">
        <w:t xml:space="preserve">, </w:t>
      </w:r>
      <w:r w:rsidR="00986E51" w:rsidRPr="00986E51">
        <w:rPr>
          <w:lang w:val="en-US"/>
        </w:rPr>
        <w:t>Indoor</w:t>
      </w:r>
      <w:r w:rsidR="00986E51" w:rsidRPr="00F600B1">
        <w:t xml:space="preserve"> </w:t>
      </w:r>
      <w:r w:rsidR="00986E51" w:rsidRPr="00986E51">
        <w:rPr>
          <w:lang w:val="en-US"/>
        </w:rPr>
        <w:t>Group</w:t>
      </w:r>
      <w:r w:rsidR="00986E51" w:rsidRPr="00F600B1">
        <w:t xml:space="preserve">, </w:t>
      </w:r>
      <w:r w:rsidR="00986E51" w:rsidRPr="00986E51">
        <w:rPr>
          <w:lang w:val="en-US"/>
        </w:rPr>
        <w:t>Initiative</w:t>
      </w:r>
      <w:r w:rsidR="00986E51" w:rsidRPr="00F600B1">
        <w:t xml:space="preserve">, </w:t>
      </w:r>
      <w:r w:rsidR="00986E51" w:rsidRPr="00986E51">
        <w:rPr>
          <w:lang w:val="en-US"/>
        </w:rPr>
        <w:t>LBL</w:t>
      </w:r>
      <w:r w:rsidR="00986E51" w:rsidRPr="00F600B1">
        <w:t xml:space="preserve">, </w:t>
      </w:r>
      <w:r w:rsidR="00685A75" w:rsidRPr="00986E51">
        <w:rPr>
          <w:lang w:val="en-US"/>
        </w:rPr>
        <w:t>Magma</w:t>
      </w:r>
      <w:r w:rsidR="00685A75" w:rsidRPr="00F600B1">
        <w:t xml:space="preserve"> </w:t>
      </w:r>
      <w:r w:rsidR="00986E51" w:rsidRPr="00F600B1">
        <w:t>(</w:t>
      </w:r>
      <w:r w:rsidR="00685A75" w:rsidRPr="00986E51">
        <w:rPr>
          <w:lang w:val="en-US"/>
        </w:rPr>
        <w:t>Media</w:t>
      </w:r>
      <w:r w:rsidR="00685A75" w:rsidRPr="00F600B1">
        <w:t xml:space="preserve"> </w:t>
      </w:r>
      <w:r w:rsidR="00685A75" w:rsidRPr="00986E51">
        <w:rPr>
          <w:lang w:val="en-US"/>
        </w:rPr>
        <w:t>Arts</w:t>
      </w:r>
      <w:r w:rsidR="00685A75" w:rsidRPr="00F600B1">
        <w:t xml:space="preserve"> </w:t>
      </w:r>
      <w:r w:rsidR="00685A75" w:rsidRPr="00986E51">
        <w:rPr>
          <w:lang w:val="en-US"/>
        </w:rPr>
        <w:t>Group</w:t>
      </w:r>
      <w:r w:rsidR="00986E51" w:rsidRPr="00F600B1">
        <w:t xml:space="preserve">), </w:t>
      </w:r>
      <w:r w:rsidR="00986E51" w:rsidRPr="00986E51">
        <w:rPr>
          <w:lang w:val="en-US"/>
        </w:rPr>
        <w:t>Media</w:t>
      </w:r>
      <w:r w:rsidR="00986E51" w:rsidRPr="00F600B1">
        <w:t xml:space="preserve"> </w:t>
      </w:r>
      <w:r w:rsidR="00986E51" w:rsidRPr="00986E51">
        <w:rPr>
          <w:lang w:val="en-US"/>
        </w:rPr>
        <w:t>First</w:t>
      </w:r>
      <w:r w:rsidR="00685A75" w:rsidRPr="00F600B1">
        <w:t xml:space="preserve"> (</w:t>
      </w:r>
      <w:r w:rsidR="00685A75">
        <w:rPr>
          <w:lang w:val="en-US"/>
        </w:rPr>
        <w:t>TWIGA</w:t>
      </w:r>
      <w:r w:rsidR="00685A75" w:rsidRPr="00F600B1">
        <w:t>)</w:t>
      </w:r>
      <w:r w:rsidR="00986E51" w:rsidRPr="00F600B1">
        <w:t xml:space="preserve">, </w:t>
      </w:r>
      <w:proofErr w:type="spellStart"/>
      <w:r w:rsidR="00986E51" w:rsidRPr="00986E51">
        <w:rPr>
          <w:lang w:val="en-US"/>
        </w:rPr>
        <w:t>MediaInstinct</w:t>
      </w:r>
      <w:proofErr w:type="spellEnd"/>
      <w:r w:rsidR="00986E51" w:rsidRPr="00F600B1">
        <w:t xml:space="preserve">, </w:t>
      </w:r>
      <w:proofErr w:type="spellStart"/>
      <w:r w:rsidR="00986E51" w:rsidRPr="00986E51">
        <w:rPr>
          <w:lang w:val="en-US"/>
        </w:rPr>
        <w:t>MediaNet</w:t>
      </w:r>
      <w:proofErr w:type="spellEnd"/>
      <w:r w:rsidR="00986E51" w:rsidRPr="00F600B1">
        <w:t xml:space="preserve">, </w:t>
      </w:r>
      <w:proofErr w:type="spellStart"/>
      <w:r w:rsidR="00986E51" w:rsidRPr="00986E51">
        <w:rPr>
          <w:lang w:val="en-US"/>
        </w:rPr>
        <w:t>MediaSelection</w:t>
      </w:r>
      <w:proofErr w:type="spellEnd"/>
      <w:r w:rsidR="00986E51" w:rsidRPr="00F600B1">
        <w:t xml:space="preserve">, </w:t>
      </w:r>
      <w:r w:rsidR="00986E51" w:rsidRPr="00986E51">
        <w:rPr>
          <w:lang w:val="en-US"/>
        </w:rPr>
        <w:t>OMD</w:t>
      </w:r>
      <w:r w:rsidR="00986E51" w:rsidRPr="00F600B1">
        <w:t xml:space="preserve"> </w:t>
      </w:r>
      <w:r w:rsidR="00986E51" w:rsidRPr="00986E51">
        <w:rPr>
          <w:lang w:val="en-US"/>
        </w:rPr>
        <w:t>OM</w:t>
      </w:r>
      <w:r w:rsidR="00986E51" w:rsidRPr="00F600B1">
        <w:t xml:space="preserve"> </w:t>
      </w:r>
      <w:r w:rsidR="00986E51" w:rsidRPr="00986E51">
        <w:rPr>
          <w:lang w:val="en-US"/>
        </w:rPr>
        <w:t>Buying</w:t>
      </w:r>
      <w:r w:rsidR="00986E51" w:rsidRPr="00F600B1">
        <w:t xml:space="preserve">, </w:t>
      </w:r>
      <w:r w:rsidR="00986E51" w:rsidRPr="00986E51">
        <w:rPr>
          <w:lang w:val="en-US"/>
        </w:rPr>
        <w:t>OMI</w:t>
      </w:r>
      <w:r w:rsidR="00986E51" w:rsidRPr="00F600B1">
        <w:t xml:space="preserve">, </w:t>
      </w:r>
      <w:proofErr w:type="spellStart"/>
      <w:r w:rsidR="00986E51" w:rsidRPr="00986E51">
        <w:rPr>
          <w:lang w:val="en-US"/>
        </w:rPr>
        <w:t>Posterscope</w:t>
      </w:r>
      <w:proofErr w:type="spellEnd"/>
      <w:r w:rsidR="00986E51" w:rsidRPr="00F600B1">
        <w:t xml:space="preserve">, </w:t>
      </w:r>
      <w:proofErr w:type="spellStart"/>
      <w:r w:rsidR="00986E51" w:rsidRPr="00986E51">
        <w:rPr>
          <w:lang w:val="en-US"/>
        </w:rPr>
        <w:t>RentStreet</w:t>
      </w:r>
      <w:proofErr w:type="spellEnd"/>
      <w:r w:rsidR="00986E51" w:rsidRPr="00F600B1">
        <w:t xml:space="preserve"> (</w:t>
      </w:r>
      <w:r w:rsidR="00986E51" w:rsidRPr="00986E51">
        <w:rPr>
          <w:lang w:val="en-US"/>
        </w:rPr>
        <w:t>GRAM</w:t>
      </w:r>
      <w:r w:rsidR="00986E51" w:rsidRPr="00F600B1">
        <w:t xml:space="preserve">), </w:t>
      </w:r>
      <w:proofErr w:type="spellStart"/>
      <w:r w:rsidR="00986E51" w:rsidRPr="00986E51">
        <w:rPr>
          <w:lang w:val="en-US"/>
        </w:rPr>
        <w:t>Sorec</w:t>
      </w:r>
      <w:proofErr w:type="spellEnd"/>
      <w:r w:rsidR="00986E51" w:rsidRPr="00F600B1">
        <w:t xml:space="preserve"> </w:t>
      </w:r>
      <w:r w:rsidR="00986E51" w:rsidRPr="00986E51">
        <w:rPr>
          <w:lang w:val="en-US"/>
        </w:rPr>
        <w:t>Media</w:t>
      </w:r>
      <w:r w:rsidR="00986E51" w:rsidRPr="00F600B1">
        <w:t xml:space="preserve">, </w:t>
      </w:r>
      <w:r w:rsidR="00685A75">
        <w:rPr>
          <w:lang w:val="en-US"/>
        </w:rPr>
        <w:t>UM</w:t>
      </w:r>
      <w:r w:rsidR="00685A75" w:rsidRPr="00F600B1">
        <w:t xml:space="preserve">, </w:t>
      </w:r>
      <w:proofErr w:type="spellStart"/>
      <w:r w:rsidR="00685A75">
        <w:rPr>
          <w:lang w:val="en-US"/>
        </w:rPr>
        <w:t>Vivaki</w:t>
      </w:r>
      <w:proofErr w:type="spellEnd"/>
      <w:r w:rsidR="00685A75" w:rsidRPr="00F600B1">
        <w:t xml:space="preserve">, </w:t>
      </w:r>
      <w:r w:rsidR="00986E51" w:rsidRPr="00986E51">
        <w:t>Медиа</w:t>
      </w:r>
      <w:r w:rsidR="00986E51" w:rsidRPr="00F600B1">
        <w:t xml:space="preserve"> </w:t>
      </w:r>
      <w:r w:rsidR="00986E51" w:rsidRPr="00986E51">
        <w:t>Эксперт</w:t>
      </w:r>
      <w:r w:rsidR="00986E51" w:rsidRPr="00F600B1">
        <w:t xml:space="preserve"> (</w:t>
      </w:r>
      <w:r w:rsidR="00986E51" w:rsidRPr="00986E51">
        <w:rPr>
          <w:lang w:val="en-US"/>
        </w:rPr>
        <w:t>Prior</w:t>
      </w:r>
      <w:r w:rsidR="00986E51" w:rsidRPr="00F600B1">
        <w:t xml:space="preserve">), </w:t>
      </w:r>
      <w:r w:rsidR="00986E51" w:rsidRPr="00986E51">
        <w:t>Нью</w:t>
      </w:r>
      <w:r w:rsidR="00986E51" w:rsidRPr="00F600B1">
        <w:t>-</w:t>
      </w:r>
      <w:r w:rsidR="00986E51" w:rsidRPr="00986E51">
        <w:t>Тон</w:t>
      </w:r>
      <w:r w:rsidR="00986E51" w:rsidRPr="00F600B1">
        <w:t>.</w:t>
      </w:r>
      <w:r w:rsidR="00EA0EB2" w:rsidRPr="00F600B1">
        <w:t xml:space="preserve"> </w:t>
      </w:r>
    </w:p>
    <w:p w:rsidR="00986E51" w:rsidRPr="00B348DF" w:rsidRDefault="00986E51" w:rsidP="00DF3593">
      <w:r>
        <w:t xml:space="preserve">В ходе </w:t>
      </w:r>
      <w:r w:rsidR="00BE23BD">
        <w:t>проведенного</w:t>
      </w:r>
      <w:r w:rsidR="00CE1870">
        <w:t xml:space="preserve"> </w:t>
      </w:r>
      <w:r w:rsidR="00B348DF">
        <w:t>анкетирования</w:t>
      </w:r>
      <w:r>
        <w:t xml:space="preserve"> были также определены веса критериев, по которым на финальном этапе предстояло </w:t>
      </w:r>
      <w:r w:rsidR="00B348DF">
        <w:t>ранжировать</w:t>
      </w:r>
      <w:r>
        <w:t xml:space="preserve"> фигурантов рейтинга.</w:t>
      </w:r>
      <w:r w:rsidR="00B348DF">
        <w:t xml:space="preserve"> Для этого </w:t>
      </w:r>
      <w:proofErr w:type="spellStart"/>
      <w:r w:rsidR="00B348DF">
        <w:t>баинговым</w:t>
      </w:r>
      <w:proofErr w:type="spellEnd"/>
      <w:r w:rsidR="00B348DF">
        <w:t xml:space="preserve"> специалистам предложили оценить по 10-балльной шкале значимость </w:t>
      </w:r>
      <w:r w:rsidR="00093BB5">
        <w:t xml:space="preserve">в их работе 20 </w:t>
      </w:r>
      <w:r w:rsidR="00B348DF">
        <w:t xml:space="preserve">параметров, характеризующих </w:t>
      </w:r>
      <w:r w:rsidR="00B348DF">
        <w:rPr>
          <w:lang w:val="en-US"/>
        </w:rPr>
        <w:t>indoor</w:t>
      </w:r>
      <w:r w:rsidR="00B348DF" w:rsidRPr="00B348DF">
        <w:t>-</w:t>
      </w:r>
      <w:r w:rsidR="00B348DF">
        <w:t xml:space="preserve">подрядчиков в трех экспертизах: </w:t>
      </w:r>
      <w:r w:rsidR="00B348DF" w:rsidRPr="00F600B1">
        <w:rPr>
          <w:b/>
        </w:rPr>
        <w:t>инвентарной</w:t>
      </w:r>
      <w:r w:rsidR="00B348DF">
        <w:t xml:space="preserve"> (только для владельцев инвентаря), </w:t>
      </w:r>
      <w:r w:rsidR="00B348DF" w:rsidRPr="00F600B1">
        <w:rPr>
          <w:b/>
        </w:rPr>
        <w:t>сервисной</w:t>
      </w:r>
      <w:r w:rsidR="00B348DF">
        <w:t xml:space="preserve"> и </w:t>
      </w:r>
      <w:r w:rsidR="001761D0" w:rsidRPr="00F600B1">
        <w:rPr>
          <w:b/>
        </w:rPr>
        <w:t>операционной</w:t>
      </w:r>
      <w:r w:rsidR="001761D0">
        <w:t xml:space="preserve"> (</w:t>
      </w:r>
      <w:r w:rsidR="00093BB5">
        <w:t xml:space="preserve">как </w:t>
      </w:r>
      <w:r w:rsidR="001761D0">
        <w:t>для операторов</w:t>
      </w:r>
      <w:r w:rsidR="00093BB5">
        <w:t>, так</w:t>
      </w:r>
      <w:r w:rsidR="001761D0">
        <w:t xml:space="preserve"> и</w:t>
      </w:r>
      <w:r w:rsidR="00093BB5">
        <w:t xml:space="preserve"> для</w:t>
      </w:r>
      <w:r w:rsidR="001761D0">
        <w:t xml:space="preserve"> </w:t>
      </w:r>
      <w:proofErr w:type="spellStart"/>
      <w:r w:rsidR="001761D0">
        <w:t>баинговых</w:t>
      </w:r>
      <w:proofErr w:type="spellEnd"/>
      <w:r w:rsidR="001761D0">
        <w:t xml:space="preserve"> компаний).</w:t>
      </w:r>
    </w:p>
    <w:p w:rsidR="00947B4A" w:rsidRPr="00947B4A" w:rsidRDefault="00947B4A" w:rsidP="00947B4A">
      <w:pPr>
        <w:pStyle w:val="a3"/>
        <w:numPr>
          <w:ilvl w:val="0"/>
          <w:numId w:val="20"/>
        </w:numPr>
        <w:rPr>
          <w:b/>
        </w:rPr>
      </w:pPr>
      <w:r w:rsidRPr="00947B4A">
        <w:rPr>
          <w:b/>
        </w:rPr>
        <w:t>Инвентаризация</w:t>
      </w:r>
    </w:p>
    <w:p w:rsidR="00B9478F" w:rsidRPr="00146A8D" w:rsidRDefault="00685A75" w:rsidP="001761D0">
      <w:r>
        <w:t>Следующим шагом стал</w:t>
      </w:r>
      <w:r w:rsidR="00BE23BD">
        <w:t xml:space="preserve"> </w:t>
      </w:r>
      <w:r w:rsidR="001761D0">
        <w:t>сбор</w:t>
      </w:r>
      <w:r w:rsidR="00B9478F" w:rsidRPr="00146A8D">
        <w:t xml:space="preserve"> информации об </w:t>
      </w:r>
      <w:r w:rsidR="00B9478F" w:rsidRPr="00146A8D">
        <w:rPr>
          <w:lang w:val="en-US"/>
        </w:rPr>
        <w:t>indoor</w:t>
      </w:r>
      <w:r w:rsidR="00B9478F" w:rsidRPr="00146A8D">
        <w:t>-</w:t>
      </w:r>
      <w:r w:rsidR="001761D0">
        <w:t>активах</w:t>
      </w:r>
      <w:r w:rsidR="00BE23BD">
        <w:t xml:space="preserve"> всех </w:t>
      </w:r>
      <w:r>
        <w:t>участвующих в исследовании</w:t>
      </w:r>
      <w:r w:rsidR="00BE23BD">
        <w:t xml:space="preserve"> </w:t>
      </w:r>
      <w:r w:rsidR="00947B4A" w:rsidRPr="00947B4A">
        <w:rPr>
          <w:b/>
        </w:rPr>
        <w:t>операторов</w:t>
      </w:r>
      <w:r w:rsidR="001761D0">
        <w:t>.</w:t>
      </w:r>
    </w:p>
    <w:p w:rsidR="002D3574" w:rsidRPr="00F600B1" w:rsidRDefault="00947B4A" w:rsidP="00F600B1">
      <w:pPr>
        <w:pStyle w:val="a3"/>
        <w:ind w:left="0"/>
        <w:rPr>
          <w:sz w:val="20"/>
        </w:rPr>
      </w:pPr>
      <w:r w:rsidRPr="00947B4A">
        <w:t>Для этого</w:t>
      </w:r>
      <w:r w:rsidR="00B9478F" w:rsidRPr="00146A8D">
        <w:t xml:space="preserve"> фигурантам</w:t>
      </w:r>
      <w:r w:rsidR="00AD51C2" w:rsidRPr="00146A8D">
        <w:t xml:space="preserve"> рейтинга, определенным </w:t>
      </w:r>
      <w:r w:rsidR="00AD51C2" w:rsidRPr="00146A8D">
        <w:rPr>
          <w:b/>
        </w:rPr>
        <w:t xml:space="preserve">на </w:t>
      </w:r>
      <w:r w:rsidR="00685A75">
        <w:rPr>
          <w:b/>
        </w:rPr>
        <w:t>втором</w:t>
      </w:r>
      <w:r w:rsidR="00AD51C2" w:rsidRPr="00146A8D">
        <w:rPr>
          <w:b/>
        </w:rPr>
        <w:t xml:space="preserve"> этапе</w:t>
      </w:r>
      <w:r w:rsidR="00F37732">
        <w:rPr>
          <w:b/>
        </w:rPr>
        <w:t xml:space="preserve"> как операторы</w:t>
      </w:r>
      <w:r w:rsidR="00AD51C2" w:rsidRPr="00146A8D">
        <w:t xml:space="preserve">, </w:t>
      </w:r>
      <w:r w:rsidR="00DF3593" w:rsidRPr="00146A8D">
        <w:t>направля</w:t>
      </w:r>
      <w:r>
        <w:t>лась</w:t>
      </w:r>
      <w:r w:rsidR="00DF3593" w:rsidRPr="00146A8D">
        <w:t xml:space="preserve"> анкета, </w:t>
      </w:r>
      <w:r>
        <w:t xml:space="preserve">содержащая вопросы по </w:t>
      </w:r>
      <w:r>
        <w:rPr>
          <w:lang w:val="en-US"/>
        </w:rPr>
        <w:t>indoor</w:t>
      </w:r>
      <w:r w:rsidR="00F37732">
        <w:t xml:space="preserve">-инвентарю: количество и название площадок, количество и формат конструкций, города присутствия, возможность предоставления </w:t>
      </w:r>
      <w:r w:rsidR="00A931ED" w:rsidRPr="00146A8D">
        <w:t>д</w:t>
      </w:r>
      <w:r w:rsidR="00F37732">
        <w:t>ополнительного сервиса</w:t>
      </w:r>
      <w:r w:rsidR="00DF3593" w:rsidRPr="00146A8D">
        <w:t>.</w:t>
      </w:r>
      <w:r w:rsidR="00F600B1">
        <w:t xml:space="preserve">  </w:t>
      </w:r>
      <w:r w:rsidR="00F600B1" w:rsidRPr="00F600B1">
        <w:rPr>
          <w:sz w:val="21"/>
          <w:szCs w:val="21"/>
        </w:rPr>
        <w:t>(</w:t>
      </w:r>
      <w:r w:rsidR="00F600B1" w:rsidRPr="00F600B1">
        <w:rPr>
          <w:b/>
          <w:sz w:val="21"/>
          <w:szCs w:val="21"/>
        </w:rPr>
        <w:t>Прим</w:t>
      </w:r>
      <w:r w:rsidR="00F600B1" w:rsidRPr="00F600B1">
        <w:rPr>
          <w:sz w:val="21"/>
          <w:szCs w:val="21"/>
        </w:rPr>
        <w:t xml:space="preserve">. </w:t>
      </w:r>
      <w:proofErr w:type="spellStart"/>
      <w:r w:rsidR="00F600B1" w:rsidRPr="00F600B1">
        <w:rPr>
          <w:i/>
          <w:sz w:val="21"/>
          <w:szCs w:val="21"/>
        </w:rPr>
        <w:t>Баинговые</w:t>
      </w:r>
      <w:proofErr w:type="spellEnd"/>
      <w:r w:rsidR="00F600B1" w:rsidRPr="00F600B1">
        <w:rPr>
          <w:i/>
          <w:sz w:val="21"/>
          <w:szCs w:val="21"/>
        </w:rPr>
        <w:t xml:space="preserve"> структуры из этого этапа были исключены, поскольку собственным инвентарем не владеют. Если компания является одновременно и </w:t>
      </w:r>
      <w:proofErr w:type="spellStart"/>
      <w:r w:rsidR="00F600B1" w:rsidRPr="00F600B1">
        <w:rPr>
          <w:i/>
          <w:sz w:val="21"/>
          <w:szCs w:val="21"/>
        </w:rPr>
        <w:t>баером</w:t>
      </w:r>
      <w:proofErr w:type="spellEnd"/>
      <w:r w:rsidR="00F600B1" w:rsidRPr="00F600B1">
        <w:rPr>
          <w:i/>
          <w:sz w:val="21"/>
          <w:szCs w:val="21"/>
        </w:rPr>
        <w:t>, и оператором, она получает запрос на предоставление информации только по собственному инвентарю).</w:t>
      </w:r>
    </w:p>
    <w:p w:rsidR="00F600B1" w:rsidRDefault="00F600B1" w:rsidP="00F37732">
      <w:pPr>
        <w:pStyle w:val="a3"/>
        <w:ind w:left="0"/>
      </w:pPr>
    </w:p>
    <w:p w:rsidR="00DF3593" w:rsidRPr="00F37732" w:rsidRDefault="00F37732" w:rsidP="00F37732">
      <w:pPr>
        <w:pStyle w:val="a3"/>
        <w:numPr>
          <w:ilvl w:val="0"/>
          <w:numId w:val="20"/>
        </w:numPr>
        <w:rPr>
          <w:b/>
        </w:rPr>
      </w:pPr>
      <w:r>
        <w:rPr>
          <w:b/>
        </w:rPr>
        <w:lastRenderedPageBreak/>
        <w:t>Верификация и оценка</w:t>
      </w:r>
    </w:p>
    <w:p w:rsidR="00AB3A1D" w:rsidRPr="00146A8D" w:rsidRDefault="002D3574" w:rsidP="002D3574">
      <w:pPr>
        <w:pStyle w:val="a3"/>
        <w:ind w:left="0"/>
      </w:pPr>
      <w:r w:rsidRPr="002D3574">
        <w:t>Для</w:t>
      </w:r>
      <w:r>
        <w:rPr>
          <w:b/>
        </w:rPr>
        <w:t xml:space="preserve"> </w:t>
      </w:r>
      <w:r w:rsidR="00394E6E" w:rsidRPr="00146A8D">
        <w:t>верификаци</w:t>
      </w:r>
      <w:r>
        <w:t>и</w:t>
      </w:r>
      <w:r w:rsidR="00394E6E" w:rsidRPr="00146A8D">
        <w:t xml:space="preserve"> полученн</w:t>
      </w:r>
      <w:r>
        <w:t>ых от операторов данных и оценки</w:t>
      </w:r>
      <w:r w:rsidR="00394E6E" w:rsidRPr="00146A8D">
        <w:t xml:space="preserve"> качества сервиса операторов и </w:t>
      </w:r>
      <w:proofErr w:type="spellStart"/>
      <w:r w:rsidR="00394E6E" w:rsidRPr="00146A8D">
        <w:t>баинговых</w:t>
      </w:r>
      <w:proofErr w:type="spellEnd"/>
      <w:r w:rsidR="00394E6E" w:rsidRPr="00146A8D">
        <w:t xml:space="preserve"> </w:t>
      </w:r>
      <w:r>
        <w:t>компаний</w:t>
      </w:r>
      <w:r>
        <w:rPr>
          <w:b/>
        </w:rPr>
        <w:t xml:space="preserve"> </w:t>
      </w:r>
      <w:r w:rsidRPr="002D3574">
        <w:t>мы попросили</w:t>
      </w:r>
      <w:r>
        <w:rPr>
          <w:b/>
        </w:rPr>
        <w:t xml:space="preserve"> </w:t>
      </w:r>
      <w:r w:rsidRPr="002D3574">
        <w:t>з</w:t>
      </w:r>
      <w:r>
        <w:t>аказчиков</w:t>
      </w:r>
      <w:r w:rsidR="00C3482C" w:rsidRPr="00146A8D">
        <w:t xml:space="preserve"> (агентства) </w:t>
      </w:r>
      <w:r>
        <w:t xml:space="preserve">оценить </w:t>
      </w:r>
      <w:r w:rsidR="00394E6E" w:rsidRPr="002D3574">
        <w:t>своих</w:t>
      </w:r>
      <w:r w:rsidR="00394E6E" w:rsidRPr="00146A8D">
        <w:t xml:space="preserve"> </w:t>
      </w:r>
      <w:proofErr w:type="gramStart"/>
      <w:r w:rsidR="00394E6E" w:rsidRPr="00146A8D">
        <w:t xml:space="preserve">подрядчиков </w:t>
      </w:r>
      <w:r w:rsidR="00A85527" w:rsidRPr="00146A8D">
        <w:t xml:space="preserve"> </w:t>
      </w:r>
      <w:r w:rsidR="00AB3A1D" w:rsidRPr="00146A8D">
        <w:t>по</w:t>
      </w:r>
      <w:proofErr w:type="gramEnd"/>
      <w:r w:rsidR="00AB3A1D" w:rsidRPr="00146A8D">
        <w:t xml:space="preserve"> трем параметрам: </w:t>
      </w:r>
      <w:r w:rsidR="00AB3A1D" w:rsidRPr="002D3574">
        <w:t>инвен</w:t>
      </w:r>
      <w:r w:rsidR="00C3482C" w:rsidRPr="002D3574">
        <w:t>тарь</w:t>
      </w:r>
      <w:r w:rsidRPr="002D3574">
        <w:t xml:space="preserve"> (операторы), клиентский сервис и</w:t>
      </w:r>
      <w:r w:rsidR="00C3482C" w:rsidRPr="002D3574">
        <w:t xml:space="preserve"> бизнес</w:t>
      </w:r>
      <w:r>
        <w:t xml:space="preserve">-подходы (операторы и </w:t>
      </w:r>
      <w:proofErr w:type="spellStart"/>
      <w:r>
        <w:t>ба</w:t>
      </w:r>
      <w:r w:rsidRPr="002D3574">
        <w:t>инговые</w:t>
      </w:r>
      <w:proofErr w:type="spellEnd"/>
      <w:r w:rsidRPr="002D3574">
        <w:t xml:space="preserve"> структуры).</w:t>
      </w:r>
    </w:p>
    <w:p w:rsidR="00A85527" w:rsidRPr="002D3574" w:rsidRDefault="002D3574" w:rsidP="00A85527">
      <w:r w:rsidRPr="002D3574">
        <w:t xml:space="preserve">Каждый заказчик со стороны агентства получил профайл по компаниям, с которыми он сотрудничал, который содержал </w:t>
      </w:r>
      <w:r>
        <w:t xml:space="preserve">опрос по </w:t>
      </w:r>
      <w:r w:rsidRPr="002D3574">
        <w:rPr>
          <w:b/>
        </w:rPr>
        <w:t>инвентарю</w:t>
      </w:r>
      <w:r w:rsidRPr="002D3574">
        <w:t xml:space="preserve"> (если речь шла об оценке операторской компании), где предстояло оценить четыре параметра</w:t>
      </w:r>
      <w:r>
        <w:t>,</w:t>
      </w:r>
      <w:r w:rsidRPr="002D3574">
        <w:t xml:space="preserve"> и </w:t>
      </w:r>
      <w:r>
        <w:t>по во</w:t>
      </w:r>
      <w:r w:rsidRPr="002D3574">
        <w:t xml:space="preserve">семь оценок </w:t>
      </w:r>
      <w:r>
        <w:t>в</w:t>
      </w:r>
      <w:r w:rsidRPr="002D3574">
        <w:t xml:space="preserve"> сервисной и операционной экспертиза</w:t>
      </w:r>
      <w:r>
        <w:t>х</w:t>
      </w:r>
      <w:r w:rsidRPr="002D3574">
        <w:t>.</w:t>
      </w:r>
      <w:r>
        <w:t xml:space="preserve"> При выставлении оценок эксперты оперировали пятибалльной шкалой.</w:t>
      </w:r>
    </w:p>
    <w:p w:rsidR="00A85527" w:rsidRPr="00146A8D" w:rsidRDefault="00435568" w:rsidP="00435568">
      <w:pPr>
        <w:pStyle w:val="a3"/>
      </w:pPr>
      <w:r>
        <w:rPr>
          <w:b/>
        </w:rPr>
        <w:t xml:space="preserve">4.1  </w:t>
      </w:r>
      <w:r w:rsidR="00A85527" w:rsidRPr="00146A8D">
        <w:rPr>
          <w:b/>
        </w:rPr>
        <w:t>Верификация инвентаря</w:t>
      </w:r>
      <w:r w:rsidR="00A85527" w:rsidRPr="00146A8D">
        <w:t xml:space="preserve"> (</w:t>
      </w:r>
      <w:r w:rsidR="00A85527" w:rsidRPr="005E1E9D">
        <w:t>оценива</w:t>
      </w:r>
      <w:r w:rsidR="002D3574" w:rsidRPr="005E1E9D">
        <w:t>лись</w:t>
      </w:r>
      <w:r w:rsidR="00A85527" w:rsidRPr="00146A8D">
        <w:rPr>
          <w:b/>
        </w:rPr>
        <w:t xml:space="preserve"> </w:t>
      </w:r>
      <w:r w:rsidR="00A85527" w:rsidRPr="005E1E9D">
        <w:t>только</w:t>
      </w:r>
      <w:r w:rsidR="00A85527" w:rsidRPr="00146A8D">
        <w:rPr>
          <w:b/>
        </w:rPr>
        <w:t xml:space="preserve"> операторы</w:t>
      </w:r>
      <w:r w:rsidR="00A85527" w:rsidRPr="00146A8D">
        <w:t>):</w:t>
      </w:r>
    </w:p>
    <w:p w:rsidR="000C7616" w:rsidRPr="005E1E9D" w:rsidRDefault="000C7616" w:rsidP="000C7616">
      <w:pPr>
        <w:pStyle w:val="a3"/>
      </w:pPr>
      <w:r w:rsidRPr="005E1E9D">
        <w:t>1.</w:t>
      </w:r>
      <w:r w:rsidRPr="005E1E9D">
        <w:tab/>
        <w:t>Коли</w:t>
      </w:r>
      <w:r w:rsidR="00305502" w:rsidRPr="005E1E9D">
        <w:t xml:space="preserve">чество стационарного инвентаря </w:t>
      </w:r>
      <w:r w:rsidRPr="005E1E9D">
        <w:rPr>
          <w:i/>
        </w:rPr>
        <w:t>(оценка достоверности</w:t>
      </w:r>
      <w:r w:rsidR="002D3574" w:rsidRPr="005E1E9D">
        <w:rPr>
          <w:i/>
        </w:rPr>
        <w:t xml:space="preserve"> шкале</w:t>
      </w:r>
      <w:r w:rsidR="00F600B1">
        <w:rPr>
          <w:rStyle w:val="af2"/>
          <w:i/>
        </w:rPr>
        <w:footnoteReference w:id="1"/>
      </w:r>
      <w:r w:rsidRPr="005E1E9D">
        <w:rPr>
          <w:i/>
        </w:rPr>
        <w:t>)</w:t>
      </w:r>
    </w:p>
    <w:p w:rsidR="000C7616" w:rsidRPr="005E1E9D" w:rsidRDefault="000C7616" w:rsidP="000C7616">
      <w:pPr>
        <w:pStyle w:val="a3"/>
      </w:pPr>
      <w:r w:rsidRPr="005E1E9D">
        <w:t>2.</w:t>
      </w:r>
      <w:r w:rsidRPr="005E1E9D">
        <w:tab/>
        <w:t xml:space="preserve">Количество площадок </w:t>
      </w:r>
      <w:r w:rsidRPr="005E1E9D">
        <w:rPr>
          <w:i/>
        </w:rPr>
        <w:t>(оценка достоверности</w:t>
      </w:r>
      <w:r w:rsidR="00F600B1">
        <w:rPr>
          <w:rStyle w:val="af2"/>
          <w:i/>
        </w:rPr>
        <w:footnoteReference w:id="2"/>
      </w:r>
      <w:r w:rsidRPr="005E1E9D">
        <w:rPr>
          <w:i/>
        </w:rPr>
        <w:t>)</w:t>
      </w:r>
    </w:p>
    <w:p w:rsidR="000C7616" w:rsidRPr="005E1E9D" w:rsidRDefault="000C7616" w:rsidP="000C7616">
      <w:pPr>
        <w:pStyle w:val="a3"/>
      </w:pPr>
      <w:r w:rsidRPr="005E1E9D">
        <w:t>3.</w:t>
      </w:r>
      <w:r w:rsidRPr="005E1E9D">
        <w:tab/>
        <w:t xml:space="preserve">Техническое состояние инвентаря </w:t>
      </w:r>
      <w:r w:rsidRPr="005E1E9D">
        <w:rPr>
          <w:i/>
        </w:rPr>
        <w:t>(оценка качества)</w:t>
      </w:r>
    </w:p>
    <w:p w:rsidR="000C7616" w:rsidRPr="005E1E9D" w:rsidRDefault="000C7616" w:rsidP="000C7616">
      <w:pPr>
        <w:pStyle w:val="a3"/>
      </w:pPr>
      <w:r w:rsidRPr="005E1E9D">
        <w:t>4.</w:t>
      </w:r>
      <w:r w:rsidRPr="005E1E9D">
        <w:tab/>
        <w:t xml:space="preserve">Охват (присутствие в регионах) </w:t>
      </w:r>
      <w:r w:rsidRPr="005E1E9D">
        <w:rPr>
          <w:i/>
        </w:rPr>
        <w:t>(оценка достоверности)</w:t>
      </w:r>
    </w:p>
    <w:p w:rsidR="00A85527" w:rsidRPr="00146A8D" w:rsidRDefault="00A85527" w:rsidP="00A85527">
      <w:pPr>
        <w:pStyle w:val="a3"/>
      </w:pPr>
    </w:p>
    <w:p w:rsidR="00A85527" w:rsidRPr="00435568" w:rsidRDefault="00A85527" w:rsidP="00435568">
      <w:pPr>
        <w:pStyle w:val="a3"/>
        <w:numPr>
          <w:ilvl w:val="1"/>
          <w:numId w:val="20"/>
        </w:numPr>
        <w:rPr>
          <w:b/>
        </w:rPr>
      </w:pPr>
      <w:r w:rsidRPr="00435568">
        <w:rPr>
          <w:b/>
        </w:rPr>
        <w:t>Оценка клиентского сервиса</w:t>
      </w:r>
      <w:r w:rsidR="002D3574">
        <w:t xml:space="preserve"> </w:t>
      </w:r>
      <w:r w:rsidRPr="00146A8D">
        <w:t>(</w:t>
      </w:r>
      <w:r w:rsidR="005E1E9D" w:rsidRPr="005E1E9D">
        <w:t>оценивались</w:t>
      </w:r>
      <w:r w:rsidR="005E1E9D" w:rsidRPr="00435568">
        <w:rPr>
          <w:b/>
        </w:rPr>
        <w:t xml:space="preserve"> </w:t>
      </w:r>
      <w:r w:rsidRPr="00435568">
        <w:rPr>
          <w:b/>
        </w:rPr>
        <w:t>операторы и</w:t>
      </w:r>
      <w:r w:rsidRPr="00146A8D">
        <w:t xml:space="preserve"> </w:t>
      </w:r>
      <w:proofErr w:type="spellStart"/>
      <w:r w:rsidRPr="00435568">
        <w:rPr>
          <w:b/>
        </w:rPr>
        <w:t>баеры</w:t>
      </w:r>
      <w:proofErr w:type="spellEnd"/>
      <w:r w:rsidRPr="00435568">
        <w:rPr>
          <w:b/>
        </w:rPr>
        <w:t>)</w:t>
      </w:r>
    </w:p>
    <w:p w:rsidR="000C7616" w:rsidRPr="005E1E9D" w:rsidRDefault="000C7616" w:rsidP="005E1E9D">
      <w:pPr>
        <w:pStyle w:val="a3"/>
        <w:numPr>
          <w:ilvl w:val="0"/>
          <w:numId w:val="22"/>
        </w:numPr>
        <w:ind w:left="1418" w:hanging="709"/>
      </w:pPr>
      <w:r w:rsidRPr="005E1E9D">
        <w:t>Скорость предоставление предложения за запрос</w:t>
      </w:r>
      <w:r w:rsidRPr="005E1E9D">
        <w:tab/>
      </w:r>
    </w:p>
    <w:p w:rsidR="000C7616" w:rsidRPr="005E1E9D" w:rsidRDefault="000C7616" w:rsidP="005E1E9D">
      <w:pPr>
        <w:pStyle w:val="a3"/>
        <w:numPr>
          <w:ilvl w:val="0"/>
          <w:numId w:val="22"/>
        </w:numPr>
        <w:ind w:left="1418" w:hanging="709"/>
      </w:pPr>
      <w:r w:rsidRPr="005E1E9D">
        <w:t>Скорость и качество коммуникаций и реагирования</w:t>
      </w:r>
      <w:r w:rsidRPr="005E1E9D">
        <w:tab/>
      </w:r>
    </w:p>
    <w:p w:rsidR="000C7616" w:rsidRPr="005E1E9D" w:rsidRDefault="000C7616" w:rsidP="005E1E9D">
      <w:pPr>
        <w:pStyle w:val="a3"/>
        <w:numPr>
          <w:ilvl w:val="0"/>
          <w:numId w:val="22"/>
        </w:numPr>
        <w:ind w:left="1418" w:hanging="709"/>
      </w:pPr>
      <w:r w:rsidRPr="005E1E9D">
        <w:t>Скорость монтажа/демонтажа</w:t>
      </w:r>
      <w:r w:rsidRPr="005E1E9D">
        <w:tab/>
      </w:r>
    </w:p>
    <w:p w:rsidR="000C7616" w:rsidRPr="005E1E9D" w:rsidRDefault="000C7616" w:rsidP="005E1E9D">
      <w:pPr>
        <w:pStyle w:val="a3"/>
        <w:numPr>
          <w:ilvl w:val="0"/>
          <w:numId w:val="22"/>
        </w:numPr>
        <w:ind w:left="1418" w:hanging="709"/>
      </w:pPr>
      <w:r w:rsidRPr="005E1E9D">
        <w:t>Оперативность устранения дефектов</w:t>
      </w:r>
      <w:r w:rsidRPr="005E1E9D">
        <w:tab/>
      </w:r>
    </w:p>
    <w:p w:rsidR="000C7616" w:rsidRPr="005E1E9D" w:rsidRDefault="000C7616" w:rsidP="005E1E9D">
      <w:pPr>
        <w:pStyle w:val="a3"/>
        <w:numPr>
          <w:ilvl w:val="0"/>
          <w:numId w:val="22"/>
        </w:numPr>
        <w:ind w:left="1418" w:hanging="709"/>
      </w:pPr>
      <w:r w:rsidRPr="005E1E9D">
        <w:t>Качество мониторинга (соблюдение заявленной частоты)</w:t>
      </w:r>
      <w:r w:rsidRPr="005E1E9D">
        <w:tab/>
      </w:r>
    </w:p>
    <w:p w:rsidR="000C7616" w:rsidRPr="005E1E9D" w:rsidRDefault="000C7616" w:rsidP="005E1E9D">
      <w:pPr>
        <w:pStyle w:val="a3"/>
        <w:numPr>
          <w:ilvl w:val="0"/>
          <w:numId w:val="22"/>
        </w:numPr>
        <w:ind w:left="1418" w:hanging="709"/>
      </w:pPr>
      <w:r w:rsidRPr="005E1E9D">
        <w:t>Полнота и качество документооборота (включая отчеты)</w:t>
      </w:r>
      <w:r w:rsidRPr="005E1E9D">
        <w:tab/>
      </w:r>
    </w:p>
    <w:p w:rsidR="000C7616" w:rsidRPr="005E1E9D" w:rsidRDefault="000C7616" w:rsidP="005E1E9D">
      <w:pPr>
        <w:pStyle w:val="a3"/>
        <w:numPr>
          <w:ilvl w:val="0"/>
          <w:numId w:val="22"/>
        </w:numPr>
        <w:ind w:left="1418" w:hanging="709"/>
      </w:pPr>
      <w:proofErr w:type="spellStart"/>
      <w:r w:rsidRPr="005E1E9D">
        <w:t>Клиенто</w:t>
      </w:r>
      <w:proofErr w:type="spellEnd"/>
      <w:r w:rsidRPr="005E1E9D">
        <w:t>-ориентированность</w:t>
      </w:r>
      <w:r w:rsidRPr="005E1E9D">
        <w:tab/>
      </w:r>
    </w:p>
    <w:p w:rsidR="000C7616" w:rsidRPr="005E1E9D" w:rsidRDefault="009404A6" w:rsidP="005E1E9D">
      <w:pPr>
        <w:pStyle w:val="a3"/>
        <w:numPr>
          <w:ilvl w:val="0"/>
          <w:numId w:val="22"/>
        </w:numPr>
        <w:ind w:left="1418" w:hanging="709"/>
      </w:pPr>
      <w:r w:rsidRPr="005E1E9D">
        <w:t>Наличие д</w:t>
      </w:r>
      <w:r w:rsidR="000C7616" w:rsidRPr="005E1E9D">
        <w:t>ополнительны</w:t>
      </w:r>
      <w:r w:rsidRPr="005E1E9D">
        <w:t>х</w:t>
      </w:r>
      <w:r w:rsidR="000C7616" w:rsidRPr="005E1E9D">
        <w:t xml:space="preserve"> сервис</w:t>
      </w:r>
      <w:r w:rsidRPr="005E1E9D">
        <w:t>ов (</w:t>
      </w:r>
      <w:r w:rsidR="000C7616" w:rsidRPr="005E1E9D">
        <w:t xml:space="preserve">креатив, </w:t>
      </w:r>
      <w:proofErr w:type="spellStart"/>
      <w:r w:rsidR="000C7616" w:rsidRPr="005E1E9D">
        <w:t>продакшен</w:t>
      </w:r>
      <w:proofErr w:type="spellEnd"/>
      <w:r w:rsidR="000C7616" w:rsidRPr="005E1E9D">
        <w:t xml:space="preserve">, </w:t>
      </w:r>
      <w:proofErr w:type="spellStart"/>
      <w:r w:rsidR="000C7616" w:rsidRPr="005E1E9D">
        <w:t>баинг</w:t>
      </w:r>
      <w:proofErr w:type="spellEnd"/>
      <w:r w:rsidR="000C7616" w:rsidRPr="005E1E9D">
        <w:t>, другое</w:t>
      </w:r>
      <w:r w:rsidRPr="005E1E9D">
        <w:t>)</w:t>
      </w:r>
    </w:p>
    <w:p w:rsidR="000C7616" w:rsidRPr="00146A8D" w:rsidRDefault="000C7616" w:rsidP="000C7616">
      <w:pPr>
        <w:pStyle w:val="a3"/>
        <w:rPr>
          <w:b/>
        </w:rPr>
      </w:pPr>
    </w:p>
    <w:p w:rsidR="00A85527" w:rsidRPr="005E1E9D" w:rsidRDefault="00A85527" w:rsidP="00435568">
      <w:pPr>
        <w:pStyle w:val="a3"/>
        <w:numPr>
          <w:ilvl w:val="1"/>
          <w:numId w:val="20"/>
        </w:numPr>
        <w:rPr>
          <w:b/>
        </w:rPr>
      </w:pPr>
      <w:r w:rsidRPr="005E1E9D">
        <w:rPr>
          <w:b/>
        </w:rPr>
        <w:t>О</w:t>
      </w:r>
      <w:r w:rsidR="002D3574" w:rsidRPr="005E1E9D">
        <w:rPr>
          <w:b/>
        </w:rPr>
        <w:t xml:space="preserve">ценка уровня ведения бизнеса  </w:t>
      </w:r>
      <w:r w:rsidRPr="00146A8D">
        <w:t>(</w:t>
      </w:r>
      <w:r w:rsidR="005E1E9D" w:rsidRPr="005E1E9D">
        <w:t>оценивались</w:t>
      </w:r>
      <w:r w:rsidR="005E1E9D" w:rsidRPr="00146A8D">
        <w:rPr>
          <w:b/>
        </w:rPr>
        <w:t xml:space="preserve"> </w:t>
      </w:r>
      <w:r w:rsidRPr="005E1E9D">
        <w:rPr>
          <w:b/>
        </w:rPr>
        <w:t>операторы и</w:t>
      </w:r>
      <w:r w:rsidRPr="00146A8D">
        <w:t xml:space="preserve"> </w:t>
      </w:r>
      <w:proofErr w:type="spellStart"/>
      <w:r w:rsidRPr="005E1E9D">
        <w:rPr>
          <w:b/>
        </w:rPr>
        <w:t>баеры</w:t>
      </w:r>
      <w:proofErr w:type="spellEnd"/>
      <w:r w:rsidRPr="005E1E9D">
        <w:rPr>
          <w:b/>
        </w:rPr>
        <w:t>)</w:t>
      </w:r>
    </w:p>
    <w:p w:rsidR="000C7616" w:rsidRPr="005E1E9D" w:rsidRDefault="000C7616" w:rsidP="005E1E9D">
      <w:pPr>
        <w:pStyle w:val="a3"/>
        <w:numPr>
          <w:ilvl w:val="0"/>
          <w:numId w:val="23"/>
        </w:numPr>
      </w:pPr>
      <w:r w:rsidRPr="005E1E9D">
        <w:t>Выстроенный бренд</w:t>
      </w:r>
      <w:r w:rsidRPr="005E1E9D">
        <w:tab/>
      </w:r>
    </w:p>
    <w:p w:rsidR="009404A6" w:rsidRPr="005E1E9D" w:rsidRDefault="000C7616" w:rsidP="005E1E9D">
      <w:pPr>
        <w:pStyle w:val="a3"/>
        <w:numPr>
          <w:ilvl w:val="0"/>
          <w:numId w:val="23"/>
        </w:numPr>
      </w:pPr>
      <w:r w:rsidRPr="005E1E9D">
        <w:t xml:space="preserve">Социальная бизнес-активность (выступления в СМИ, выставках, конференциях, ассоциациях и </w:t>
      </w:r>
      <w:proofErr w:type="gramStart"/>
      <w:r w:rsidRPr="005E1E9D">
        <w:t>т.п.</w:t>
      </w:r>
      <w:proofErr w:type="gramEnd"/>
      <w:r w:rsidRPr="005E1E9D">
        <w:t xml:space="preserve">) </w:t>
      </w:r>
    </w:p>
    <w:p w:rsidR="000C7616" w:rsidRPr="005E1E9D" w:rsidRDefault="000C7616" w:rsidP="005E1E9D">
      <w:pPr>
        <w:pStyle w:val="a3"/>
        <w:numPr>
          <w:ilvl w:val="0"/>
          <w:numId w:val="23"/>
        </w:numPr>
      </w:pPr>
      <w:r w:rsidRPr="005E1E9D">
        <w:t xml:space="preserve">Качество </w:t>
      </w:r>
      <w:proofErr w:type="spellStart"/>
      <w:r w:rsidRPr="005E1E9D">
        <w:t>медиаметрии</w:t>
      </w:r>
      <w:proofErr w:type="spellEnd"/>
      <w:r w:rsidRPr="005E1E9D">
        <w:tab/>
      </w:r>
    </w:p>
    <w:p w:rsidR="000C7616" w:rsidRPr="005E1E9D" w:rsidRDefault="000C7616" w:rsidP="005E1E9D">
      <w:pPr>
        <w:pStyle w:val="a3"/>
        <w:numPr>
          <w:ilvl w:val="0"/>
          <w:numId w:val="23"/>
        </w:numPr>
      </w:pPr>
      <w:r w:rsidRPr="005E1E9D">
        <w:t>Прозрачность ценообразования и дисконтной политики</w:t>
      </w:r>
      <w:r w:rsidRPr="005E1E9D">
        <w:tab/>
      </w:r>
    </w:p>
    <w:p w:rsidR="000C7616" w:rsidRPr="005E1E9D" w:rsidRDefault="009404A6" w:rsidP="005E1E9D">
      <w:pPr>
        <w:pStyle w:val="a3"/>
        <w:numPr>
          <w:ilvl w:val="0"/>
          <w:numId w:val="23"/>
        </w:numPr>
      </w:pPr>
      <w:r w:rsidRPr="005E1E9D">
        <w:t>Удобство требований и графика оплаты (н</w:t>
      </w:r>
      <w:r w:rsidR="000C7616" w:rsidRPr="005E1E9D">
        <w:t xml:space="preserve">аличие </w:t>
      </w:r>
      <w:proofErr w:type="spellStart"/>
      <w:r w:rsidR="000C7616" w:rsidRPr="005E1E9D">
        <w:t>постоплат</w:t>
      </w:r>
      <w:proofErr w:type="spellEnd"/>
      <w:r w:rsidRPr="005E1E9D">
        <w:t xml:space="preserve">, гибкость в сроках и </w:t>
      </w:r>
      <w:proofErr w:type="gramStart"/>
      <w:r w:rsidRPr="005E1E9D">
        <w:t>т.д.</w:t>
      </w:r>
      <w:proofErr w:type="gramEnd"/>
      <w:r w:rsidRPr="005E1E9D">
        <w:t>)</w:t>
      </w:r>
    </w:p>
    <w:p w:rsidR="000C7616" w:rsidRPr="005E1E9D" w:rsidRDefault="000C7616" w:rsidP="005E1E9D">
      <w:pPr>
        <w:pStyle w:val="a3"/>
        <w:numPr>
          <w:ilvl w:val="0"/>
          <w:numId w:val="23"/>
        </w:numPr>
      </w:pPr>
      <w:r w:rsidRPr="005E1E9D">
        <w:t>Репутация – степень доверия к деятельности компании</w:t>
      </w:r>
      <w:r w:rsidRPr="005E1E9D">
        <w:tab/>
      </w:r>
    </w:p>
    <w:p w:rsidR="000C7616" w:rsidRPr="005E1E9D" w:rsidRDefault="000C7616" w:rsidP="005E1E9D">
      <w:pPr>
        <w:pStyle w:val="a3"/>
        <w:numPr>
          <w:ilvl w:val="0"/>
          <w:numId w:val="23"/>
        </w:numPr>
      </w:pPr>
      <w:r w:rsidRPr="005E1E9D">
        <w:t>Эксклюзивность – доля присутствия на своем сегменте</w:t>
      </w:r>
      <w:r w:rsidRPr="005E1E9D">
        <w:tab/>
      </w:r>
    </w:p>
    <w:p w:rsidR="000C7616" w:rsidRDefault="000C7616" w:rsidP="005E1E9D">
      <w:pPr>
        <w:pStyle w:val="a3"/>
        <w:numPr>
          <w:ilvl w:val="0"/>
          <w:numId w:val="23"/>
        </w:numPr>
      </w:pPr>
      <w:r w:rsidRPr="005E1E9D">
        <w:t>Достоверность предоставляемых данных – степень доверия к исходящей информации</w:t>
      </w:r>
    </w:p>
    <w:p w:rsidR="00BA0641" w:rsidRDefault="00BA0641" w:rsidP="00BA0641">
      <w:pPr>
        <w:pStyle w:val="a3"/>
        <w:ind w:left="1080"/>
      </w:pPr>
    </w:p>
    <w:p w:rsidR="000C7616" w:rsidRPr="00BA0641" w:rsidRDefault="009462FB" w:rsidP="00BA0641">
      <w:pPr>
        <w:pStyle w:val="a3"/>
        <w:numPr>
          <w:ilvl w:val="0"/>
          <w:numId w:val="20"/>
        </w:numPr>
        <w:rPr>
          <w:b/>
        </w:rPr>
      </w:pPr>
      <w:r w:rsidRPr="00BA0641">
        <w:rPr>
          <w:b/>
        </w:rPr>
        <w:t xml:space="preserve"> </w:t>
      </w:r>
      <w:r w:rsidR="00F62DCA" w:rsidRPr="00BA0641">
        <w:rPr>
          <w:b/>
        </w:rPr>
        <w:t>ПОЛУЧЕНИЕ ИТОГОВОЙ ОЦЕНКИ</w:t>
      </w:r>
    </w:p>
    <w:p w:rsidR="00A85527" w:rsidRDefault="00F62DCA" w:rsidP="00F62DCA">
      <w:r w:rsidRPr="00F600B1">
        <w:rPr>
          <w:b/>
        </w:rPr>
        <w:t>Технология подсчетов</w:t>
      </w:r>
      <w:r w:rsidRPr="00F600B1">
        <w:t xml:space="preserve">. </w:t>
      </w:r>
      <w:r w:rsidR="00F600B1">
        <w:t>Оценки, полученные фигурантами рейтинга, умножались на параметр значимости критериев, определенный на первом этапе.</w:t>
      </w:r>
      <w:r w:rsidR="00410896">
        <w:t xml:space="preserve"> Максимальный балл по каждому вектору принимался за 10, остальные индексировались пропорционально.</w:t>
      </w:r>
    </w:p>
    <w:p w:rsidR="00610D4B" w:rsidRPr="00610D4B" w:rsidRDefault="00610D4B" w:rsidP="00F62DCA">
      <w:pPr>
        <w:rPr>
          <w:b/>
        </w:rPr>
      </w:pPr>
      <w:r w:rsidRPr="00610D4B">
        <w:rPr>
          <w:b/>
        </w:rPr>
        <w:t>ЗНАЧИМОСТЬ КРИТЕРИЕВ ОЦЕНКИ</w:t>
      </w:r>
      <w:r>
        <w:rPr>
          <w:b/>
        </w:rPr>
        <w:t>*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798"/>
        <w:gridCol w:w="7112"/>
        <w:gridCol w:w="809"/>
      </w:tblGrid>
      <w:tr w:rsidR="00610D4B" w:rsidRPr="00610D4B" w:rsidTr="00610D4B">
        <w:trPr>
          <w:trHeight w:val="30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Инвентарь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Техническое состояние инвентаря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9.22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Охват (присутствие в регионах)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8.36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Сервис 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Скорость предоставление предложения за запрос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9.55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Скорость и качество коммуникаций и реагирования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9.79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Скорость монтажа/демонтажа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9.19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Оперативность устранения дефектов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9.57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Качество мониторинга (соблюдение заявленной частоты)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9.51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Полнота и качество документооборота (включая отчеты)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9.04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Клиенто</w:t>
            </w:r>
            <w:proofErr w:type="spellEnd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-ориентированность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9.47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Наличие дополнительных сервисов (креатив, </w:t>
            </w:r>
            <w:proofErr w:type="spellStart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продакшен</w:t>
            </w:r>
            <w:proofErr w:type="spellEnd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баинг</w:t>
            </w:r>
            <w:proofErr w:type="spellEnd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 другое)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7.45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Бизнес 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Выстроенный бренд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6.59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Социальная бизнес-активность (выступления в СМИ, выставках, конференциях, ассоциациях и </w:t>
            </w:r>
            <w:proofErr w:type="gramStart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т.п.</w:t>
            </w:r>
            <w:proofErr w:type="gramEnd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6.07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Качество </w:t>
            </w:r>
            <w:proofErr w:type="spellStart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медиаметрии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8.69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Прозрачность ценообразования и дисконтной политики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8.84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Удобство требований и графика оплаты (наличие </w:t>
            </w:r>
            <w:proofErr w:type="spellStart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постоплат</w:t>
            </w:r>
            <w:proofErr w:type="spellEnd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, гибкость в сроках и </w:t>
            </w:r>
            <w:proofErr w:type="gramStart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т.д.</w:t>
            </w:r>
            <w:proofErr w:type="gramEnd"/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9.46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Репутация – степень доверия к деятельности компании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8.91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Эксклюзивность – доля присутствия на своем сегменте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7.63</w:t>
            </w:r>
          </w:p>
        </w:tc>
      </w:tr>
      <w:tr w:rsidR="00610D4B" w:rsidRPr="00610D4B" w:rsidTr="00610D4B">
        <w:trPr>
          <w:trHeight w:val="30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Достоверность предоставляемых данных – степень доверия к исходящей информации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D4B" w:rsidRPr="00610D4B" w:rsidRDefault="00610D4B" w:rsidP="00610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10D4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9.67</w:t>
            </w:r>
          </w:p>
        </w:tc>
      </w:tr>
    </w:tbl>
    <w:p w:rsidR="00610D4B" w:rsidRDefault="00610D4B" w:rsidP="00F62DCA"/>
    <w:p w:rsidR="00610D4B" w:rsidRPr="00146A8D" w:rsidRDefault="00610D4B" w:rsidP="00F62DCA">
      <w:r>
        <w:t>*Выяснялась в ходе опроса экспертов для выведения средней оценки</w:t>
      </w:r>
    </w:p>
    <w:p w:rsidR="00F62DCA" w:rsidRPr="00146A8D" w:rsidRDefault="00F62DCA" w:rsidP="00F62DCA">
      <w:r w:rsidRPr="00146A8D">
        <w:rPr>
          <w:b/>
        </w:rPr>
        <w:t>Финальный результат</w:t>
      </w:r>
      <w:r w:rsidRPr="00146A8D">
        <w:t xml:space="preserve">. </w:t>
      </w:r>
      <w:r w:rsidR="004E1114" w:rsidRPr="00146A8D">
        <w:t>На основании полученных оценок</w:t>
      </w:r>
      <w:r w:rsidRPr="00146A8D">
        <w:t xml:space="preserve"> формируются рейтинги игроков в разных </w:t>
      </w:r>
      <w:r w:rsidRPr="00146A8D">
        <w:rPr>
          <w:lang w:val="en-US"/>
        </w:rPr>
        <w:t>indoor</w:t>
      </w:r>
      <w:r w:rsidRPr="00146A8D">
        <w:t>-сегментах.</w:t>
      </w:r>
    </w:p>
    <w:p w:rsidR="00F600B1" w:rsidRDefault="00F600B1" w:rsidP="00C21284">
      <w:pPr>
        <w:rPr>
          <w:b/>
          <w:sz w:val="28"/>
        </w:rPr>
      </w:pPr>
    </w:p>
    <w:p w:rsidR="00C21284" w:rsidRPr="00146A8D" w:rsidRDefault="008C2C40" w:rsidP="00C21284">
      <w:pPr>
        <w:rPr>
          <w:b/>
          <w:sz w:val="28"/>
        </w:rPr>
      </w:pPr>
      <w:r w:rsidRPr="00146A8D">
        <w:rPr>
          <w:b/>
          <w:sz w:val="28"/>
        </w:rPr>
        <w:t>ОСНОВНЫЕ ОПРЕДЕЛЕНИЯ</w:t>
      </w:r>
    </w:p>
    <w:p w:rsidR="006F4751" w:rsidRPr="00146A8D" w:rsidRDefault="006F4751" w:rsidP="00C21284">
      <w:r w:rsidRPr="00146A8D">
        <w:rPr>
          <w:b/>
        </w:rPr>
        <w:t>Площадка</w:t>
      </w:r>
      <w:r w:rsidRPr="00146A8D">
        <w:t xml:space="preserve"> – это субъект процесса взаимодействия, обладающий правом распоряжаться  обособленной территорией (зданием и/или прилегающей территорией), на которой размещаются рекламные конструкции или проходит рекламная кампания.</w:t>
      </w:r>
    </w:p>
    <w:p w:rsidR="008C2C40" w:rsidRPr="00146A8D" w:rsidRDefault="008C2C40" w:rsidP="00C21284">
      <w:r w:rsidRPr="00146A8D">
        <w:rPr>
          <w:b/>
        </w:rPr>
        <w:t>Рекламная конструкция</w:t>
      </w:r>
      <w:r w:rsidRPr="00146A8D">
        <w:t xml:space="preserve"> – физический носитель постоянного или временного территориального размещения, расположенный по конкретному адресу, обладающий возможностями для демонстрации рекламно-информационных материалов (далее РИМ).</w:t>
      </w:r>
    </w:p>
    <w:p w:rsidR="006F4751" w:rsidRPr="00146A8D" w:rsidRDefault="006F4751" w:rsidP="00C21284">
      <w:r w:rsidRPr="00146A8D">
        <w:rPr>
          <w:b/>
        </w:rPr>
        <w:t>Оператор</w:t>
      </w:r>
      <w:r w:rsidRPr="00146A8D">
        <w:t xml:space="preserve"> - компания, которая управляет </w:t>
      </w:r>
      <w:r w:rsidR="008C2C40" w:rsidRPr="00146A8D">
        <w:t>стационарной рекламной конструкцией и р</w:t>
      </w:r>
      <w:r w:rsidRPr="00146A8D">
        <w:t>екламными кампаниями, проходящими на ней</w:t>
      </w:r>
      <w:r w:rsidR="0011325A" w:rsidRPr="00146A8D">
        <w:t xml:space="preserve"> (</w:t>
      </w:r>
      <w:r w:rsidR="000D2BE2" w:rsidRPr="00146A8D">
        <w:t>участник процесса, без которого провести кампанию невозможно)</w:t>
      </w:r>
      <w:r w:rsidR="0011325A" w:rsidRPr="00146A8D">
        <w:t>.</w:t>
      </w:r>
    </w:p>
    <w:p w:rsidR="006F4751" w:rsidRPr="00146A8D" w:rsidRDefault="006F4751" w:rsidP="00C21284">
      <w:proofErr w:type="spellStart"/>
      <w:r w:rsidRPr="00146A8D">
        <w:rPr>
          <w:b/>
        </w:rPr>
        <w:t>Баинговая</w:t>
      </w:r>
      <w:proofErr w:type="spellEnd"/>
      <w:r w:rsidRPr="00146A8D">
        <w:rPr>
          <w:b/>
        </w:rPr>
        <w:t xml:space="preserve"> структура </w:t>
      </w:r>
      <w:r w:rsidRPr="00146A8D">
        <w:t xml:space="preserve">– компания, владеющая договором с </w:t>
      </w:r>
      <w:r w:rsidR="008C2C40" w:rsidRPr="00146A8D">
        <w:t>п</w:t>
      </w:r>
      <w:r w:rsidRPr="00146A8D">
        <w:t>лощадкой на размещение РИМ, осуществляющая размещение своими силами или с привлечением третьих лиц.</w:t>
      </w:r>
    </w:p>
    <w:p w:rsidR="008C2C40" w:rsidRPr="00093BB5" w:rsidRDefault="00093BB5" w:rsidP="00C21284">
      <w:r w:rsidRPr="00093BB5">
        <w:rPr>
          <w:b/>
        </w:rPr>
        <w:t xml:space="preserve">Агентский </w:t>
      </w:r>
      <w:proofErr w:type="spellStart"/>
      <w:r w:rsidRPr="00093BB5">
        <w:rPr>
          <w:b/>
        </w:rPr>
        <w:t>байер</w:t>
      </w:r>
      <w:proofErr w:type="spellEnd"/>
      <w:r>
        <w:t xml:space="preserve"> – специалист медийного агентства, закупающий </w:t>
      </w:r>
      <w:r>
        <w:rPr>
          <w:lang w:val="en-US"/>
        </w:rPr>
        <w:t>indoor</w:t>
      </w:r>
      <w:r>
        <w:t>-инвентарь для своих клиентов.</w:t>
      </w:r>
    </w:p>
    <w:p w:rsidR="008C2C40" w:rsidRPr="00146A8D" w:rsidRDefault="008C2C40" w:rsidP="008C2C40">
      <w:pPr>
        <w:rPr>
          <w:b/>
          <w:sz w:val="28"/>
        </w:rPr>
      </w:pPr>
      <w:r w:rsidRPr="00146A8D">
        <w:rPr>
          <w:b/>
          <w:sz w:val="28"/>
          <w:lang w:val="en-US"/>
        </w:rPr>
        <w:t>FAQ</w:t>
      </w:r>
    </w:p>
    <w:p w:rsidR="00C21284" w:rsidRPr="00146A8D" w:rsidRDefault="00C21284" w:rsidP="00C21284">
      <w:pPr>
        <w:rPr>
          <w:b/>
        </w:rPr>
      </w:pPr>
      <w:r w:rsidRPr="00146A8D">
        <w:rPr>
          <w:b/>
        </w:rPr>
        <w:t xml:space="preserve">За какой период проводится исследование, </w:t>
      </w:r>
      <w:r w:rsidR="00410896">
        <w:rPr>
          <w:b/>
        </w:rPr>
        <w:t>и какие игроки в него включались</w:t>
      </w:r>
      <w:r w:rsidRPr="00146A8D">
        <w:rPr>
          <w:b/>
        </w:rPr>
        <w:t>?</w:t>
      </w:r>
    </w:p>
    <w:p w:rsidR="00C21284" w:rsidRPr="00146A8D" w:rsidRDefault="00C21284" w:rsidP="00C21284">
      <w:r w:rsidRPr="00146A8D">
        <w:lastRenderedPageBreak/>
        <w:t xml:space="preserve">Исследование презентует данные </w:t>
      </w:r>
      <w:r w:rsidR="000C6271">
        <w:t>за</w:t>
      </w:r>
      <w:r w:rsidRPr="00146A8D">
        <w:t xml:space="preserve"> 2013 год, на которые можно ориентироваться при проведении кампаний 2014 года. </w:t>
      </w:r>
    </w:p>
    <w:p w:rsidR="00C21284" w:rsidRPr="00146A8D" w:rsidRDefault="00410896" w:rsidP="00C21284">
      <w:r>
        <w:t>О</w:t>
      </w:r>
      <w:r w:rsidR="00C21284" w:rsidRPr="00146A8D">
        <w:t>ценива</w:t>
      </w:r>
      <w:r>
        <w:t>лись</w:t>
      </w:r>
      <w:r w:rsidR="00C21284" w:rsidRPr="00146A8D">
        <w:t xml:space="preserve"> </w:t>
      </w:r>
      <w:r w:rsidR="00C21284" w:rsidRPr="00146A8D">
        <w:rPr>
          <w:lang w:val="en-US"/>
        </w:rPr>
        <w:t>indoor</w:t>
      </w:r>
      <w:r w:rsidR="00C21284" w:rsidRPr="00146A8D">
        <w:t>-возможности как собственников инвентаря</w:t>
      </w:r>
      <w:r>
        <w:t xml:space="preserve">, так и </w:t>
      </w:r>
      <w:proofErr w:type="spellStart"/>
      <w:r>
        <w:t>баинговых</w:t>
      </w:r>
      <w:proofErr w:type="spellEnd"/>
      <w:r>
        <w:t xml:space="preserve"> структур</w:t>
      </w:r>
      <w:r w:rsidR="00C21284" w:rsidRPr="00146A8D">
        <w:t>.</w:t>
      </w:r>
    </w:p>
    <w:p w:rsidR="00C21284" w:rsidRPr="00146A8D" w:rsidRDefault="00C21284" w:rsidP="00C21284">
      <w:pPr>
        <w:rPr>
          <w:b/>
        </w:rPr>
      </w:pPr>
      <w:r w:rsidRPr="00146A8D">
        <w:rPr>
          <w:b/>
        </w:rPr>
        <w:t xml:space="preserve">Какие регионы </w:t>
      </w:r>
      <w:r w:rsidR="000C6271">
        <w:rPr>
          <w:b/>
        </w:rPr>
        <w:t>вошли в исследование</w:t>
      </w:r>
      <w:r w:rsidRPr="00146A8D">
        <w:rPr>
          <w:b/>
        </w:rPr>
        <w:t>?</w:t>
      </w:r>
    </w:p>
    <w:p w:rsidR="00C21284" w:rsidRPr="00146A8D" w:rsidRDefault="00C21284" w:rsidP="00C21284">
      <w:r w:rsidRPr="00146A8D">
        <w:t xml:space="preserve">В исследование </w:t>
      </w:r>
      <w:r w:rsidR="000C6271">
        <w:t>вошли</w:t>
      </w:r>
      <w:r w:rsidRPr="00146A8D">
        <w:t xml:space="preserve"> </w:t>
      </w:r>
      <w:r w:rsidR="000C6271">
        <w:t>компании</w:t>
      </w:r>
      <w:r w:rsidRPr="00146A8D">
        <w:t xml:space="preserve">, которых в качестве своих подрядчиков </w:t>
      </w:r>
      <w:r w:rsidR="000C6271">
        <w:t xml:space="preserve">назвали более 5% </w:t>
      </w:r>
      <w:r w:rsidRPr="00146A8D">
        <w:t xml:space="preserve">опрашиваемых заказчиков. </w:t>
      </w:r>
      <w:r w:rsidR="000C6271">
        <w:t>Среди них, кроме московских компаний, оказались операторы Санкт-Петербурга (</w:t>
      </w:r>
      <w:proofErr w:type="spellStart"/>
      <w:r w:rsidR="000C6271" w:rsidRPr="000C6271">
        <w:rPr>
          <w:rFonts w:ascii="Calibri" w:eastAsia="Times New Roman" w:hAnsi="Calibri" w:cs="Times New Roman"/>
          <w:color w:val="000000"/>
          <w:lang w:eastAsia="ru-RU"/>
        </w:rPr>
        <w:t>Indoor</w:t>
      </w:r>
      <w:proofErr w:type="spellEnd"/>
      <w:r w:rsidR="000C6271" w:rsidRPr="000C6271">
        <w:rPr>
          <w:rFonts w:ascii="Calibri" w:eastAsia="Times New Roman" w:hAnsi="Calibri" w:cs="Times New Roman"/>
          <w:color w:val="000000"/>
          <w:lang w:eastAsia="ru-RU"/>
        </w:rPr>
        <w:t xml:space="preserve"> Group</w:t>
      </w:r>
      <w:r w:rsidR="000C6271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="000C6271" w:rsidRPr="000C6271">
        <w:rPr>
          <w:rFonts w:ascii="Calibri" w:eastAsia="Times New Roman" w:hAnsi="Calibri" w:cs="Times New Roman"/>
          <w:color w:val="000000"/>
          <w:lang w:eastAsia="ru-RU"/>
        </w:rPr>
        <w:t>Проспект</w:t>
      </w:r>
      <w:r w:rsidR="000C6271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="000C6271" w:rsidRPr="000C6271">
        <w:rPr>
          <w:rFonts w:ascii="Calibri" w:eastAsia="Times New Roman" w:hAnsi="Calibri" w:cs="Times New Roman"/>
          <w:color w:val="000000"/>
          <w:lang w:eastAsia="ru-RU"/>
        </w:rPr>
        <w:t>Стоик</w:t>
      </w:r>
      <w:r w:rsidR="000C6271">
        <w:rPr>
          <w:rFonts w:ascii="Calibri" w:eastAsia="Times New Roman" w:hAnsi="Calibri" w:cs="Times New Roman"/>
          <w:color w:val="000000"/>
          <w:lang w:eastAsia="ru-RU"/>
        </w:rPr>
        <w:t xml:space="preserve">) </w:t>
      </w:r>
      <w:r w:rsidR="000C6271">
        <w:t xml:space="preserve"> и Екатеринбурга (</w:t>
      </w:r>
      <w:proofErr w:type="spellStart"/>
      <w:r w:rsidR="000C6271" w:rsidRPr="000C6271">
        <w:t>Fine</w:t>
      </w:r>
      <w:proofErr w:type="spellEnd"/>
      <w:r w:rsidR="000C6271" w:rsidRPr="000C6271">
        <w:t xml:space="preserve"> </w:t>
      </w:r>
      <w:proofErr w:type="spellStart"/>
      <w:r w:rsidR="000C6271" w:rsidRPr="000C6271">
        <w:t>Decision</w:t>
      </w:r>
      <w:proofErr w:type="spellEnd"/>
      <w:r w:rsidR="000C6271">
        <w:t xml:space="preserve">, </w:t>
      </w:r>
      <w:proofErr w:type="spellStart"/>
      <w:r w:rsidR="000C6271">
        <w:t>Аутдор</w:t>
      </w:r>
      <w:proofErr w:type="spellEnd"/>
      <w:r w:rsidR="000C6271">
        <w:t>-Сити).</w:t>
      </w:r>
    </w:p>
    <w:p w:rsidR="00C21284" w:rsidRPr="00146A8D" w:rsidRDefault="00361FAC" w:rsidP="00C21284">
      <w:pPr>
        <w:rPr>
          <w:b/>
        </w:rPr>
      </w:pPr>
      <w:r>
        <w:rPr>
          <w:b/>
        </w:rPr>
        <w:t>Было ли анкетирование защищено</w:t>
      </w:r>
      <w:r w:rsidR="00C21284" w:rsidRPr="00146A8D">
        <w:rPr>
          <w:b/>
        </w:rPr>
        <w:t xml:space="preserve"> от заинтересованных респондентов?</w:t>
      </w:r>
    </w:p>
    <w:p w:rsidR="00C21284" w:rsidRPr="00361FAC" w:rsidRDefault="00410896" w:rsidP="00C21284">
      <w:r>
        <w:t>Оценочное а</w:t>
      </w:r>
      <w:r w:rsidR="000C6271">
        <w:t xml:space="preserve">нкетирование </w:t>
      </w:r>
      <w:r>
        <w:t>четвертого</w:t>
      </w:r>
      <w:r w:rsidR="00F600B1">
        <w:t xml:space="preserve"> этапа </w:t>
      </w:r>
      <w:r w:rsidR="000C6271">
        <w:t xml:space="preserve">проводилось </w:t>
      </w:r>
      <w:proofErr w:type="spellStart"/>
      <w:r w:rsidR="000C6271">
        <w:t>персонализированно</w:t>
      </w:r>
      <w:proofErr w:type="spellEnd"/>
      <w:r w:rsidR="000C6271">
        <w:t>. Каждый респондент получал собственн</w:t>
      </w:r>
      <w:r w:rsidR="00361FAC">
        <w:t xml:space="preserve">ую </w:t>
      </w:r>
      <w:r w:rsidR="000C6271">
        <w:t>ссылк</w:t>
      </w:r>
      <w:r w:rsidR="00361FAC">
        <w:t>у</w:t>
      </w:r>
      <w:r w:rsidR="000C6271">
        <w:t xml:space="preserve"> на онлайн-опрос и </w:t>
      </w:r>
      <w:r w:rsidR="00361FAC">
        <w:t xml:space="preserve">индивидуальную </w:t>
      </w:r>
      <w:r w:rsidR="000C6271">
        <w:t>распечатку с оффлайн-</w:t>
      </w:r>
      <w:r w:rsidR="00361FAC">
        <w:t xml:space="preserve">анкетированием. Информация об </w:t>
      </w:r>
      <w:r w:rsidR="00361FAC">
        <w:rPr>
          <w:lang w:val="en-US"/>
        </w:rPr>
        <w:t>IP</w:t>
      </w:r>
      <w:r w:rsidR="00361FAC">
        <w:t>-адресах анкетирования первого этапа (проводилось не анонимно) могла служить базой для отсечения внешних откликов третьего этапа. Но необходимости в этом не было, респонденты</w:t>
      </w:r>
      <w:r w:rsidR="00F600B1">
        <w:t>, как показала практика,</w:t>
      </w:r>
      <w:r w:rsidR="00361FAC">
        <w:t xml:space="preserve"> не передавали свои запросы на обработку третьим лицам.</w:t>
      </w:r>
    </w:p>
    <w:p w:rsidR="00C21284" w:rsidRPr="00146A8D" w:rsidRDefault="00C21284" w:rsidP="00A85527">
      <w:pPr>
        <w:pStyle w:val="a3"/>
        <w:ind w:left="0"/>
      </w:pPr>
    </w:p>
    <w:sectPr w:rsidR="00C21284" w:rsidRPr="00146A8D" w:rsidSect="00F600B1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453" w:rsidRDefault="00DE4453" w:rsidP="00B9478F">
      <w:pPr>
        <w:spacing w:after="0" w:line="240" w:lineRule="auto"/>
      </w:pPr>
      <w:r>
        <w:separator/>
      </w:r>
    </w:p>
  </w:endnote>
  <w:endnote w:type="continuationSeparator" w:id="0">
    <w:p w:rsidR="00DE4453" w:rsidRDefault="00DE4453" w:rsidP="00B9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453" w:rsidRDefault="00DE4453" w:rsidP="00B9478F">
      <w:pPr>
        <w:spacing w:after="0" w:line="240" w:lineRule="auto"/>
      </w:pPr>
      <w:r>
        <w:separator/>
      </w:r>
    </w:p>
  </w:footnote>
  <w:footnote w:type="continuationSeparator" w:id="0">
    <w:p w:rsidR="00DE4453" w:rsidRDefault="00DE4453" w:rsidP="00B9478F">
      <w:pPr>
        <w:spacing w:after="0" w:line="240" w:lineRule="auto"/>
      </w:pPr>
      <w:r>
        <w:continuationSeparator/>
      </w:r>
    </w:p>
  </w:footnote>
  <w:footnote w:id="1">
    <w:p w:rsidR="00F600B1" w:rsidRDefault="00F600B1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i/>
        </w:rPr>
        <w:t>Параметр не был включен в финальную оценку, поскольку не все операторы раскрыли информацию по инвентарю.</w:t>
      </w:r>
    </w:p>
  </w:footnote>
  <w:footnote w:id="2">
    <w:p w:rsidR="00F600B1" w:rsidRDefault="00F600B1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i/>
        </w:rPr>
        <w:t>Параметр не был включен в финальную оценку, поскольку не все операторы раскрыли информацию по инвентарю.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3B3"/>
    <w:multiLevelType w:val="hybridMultilevel"/>
    <w:tmpl w:val="BE38EA50"/>
    <w:lvl w:ilvl="0" w:tplc="63CE53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731"/>
    <w:multiLevelType w:val="hybridMultilevel"/>
    <w:tmpl w:val="00A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3553"/>
    <w:multiLevelType w:val="hybridMultilevel"/>
    <w:tmpl w:val="BEE28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A6F1B"/>
    <w:multiLevelType w:val="hybridMultilevel"/>
    <w:tmpl w:val="21344682"/>
    <w:lvl w:ilvl="0" w:tplc="5EAA2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66947"/>
    <w:multiLevelType w:val="hybridMultilevel"/>
    <w:tmpl w:val="56B4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732"/>
    <w:multiLevelType w:val="hybridMultilevel"/>
    <w:tmpl w:val="6734CD8E"/>
    <w:lvl w:ilvl="0" w:tplc="D7CEAA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1082EB1"/>
    <w:multiLevelType w:val="hybridMultilevel"/>
    <w:tmpl w:val="D558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D7168"/>
    <w:multiLevelType w:val="hybridMultilevel"/>
    <w:tmpl w:val="E1D8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C2CD5"/>
    <w:multiLevelType w:val="hybridMultilevel"/>
    <w:tmpl w:val="6C54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F2D06"/>
    <w:multiLevelType w:val="hybridMultilevel"/>
    <w:tmpl w:val="C9F0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6345D"/>
    <w:multiLevelType w:val="hybridMultilevel"/>
    <w:tmpl w:val="12B6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46E5"/>
    <w:multiLevelType w:val="multilevel"/>
    <w:tmpl w:val="8A3A7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51D0769"/>
    <w:multiLevelType w:val="hybridMultilevel"/>
    <w:tmpl w:val="FF98381C"/>
    <w:lvl w:ilvl="0" w:tplc="8026C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307022"/>
    <w:multiLevelType w:val="hybridMultilevel"/>
    <w:tmpl w:val="3348C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8F42BF"/>
    <w:multiLevelType w:val="hybridMultilevel"/>
    <w:tmpl w:val="62CA692C"/>
    <w:lvl w:ilvl="0" w:tplc="73723C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A4740"/>
    <w:multiLevelType w:val="hybridMultilevel"/>
    <w:tmpl w:val="F5961DD4"/>
    <w:lvl w:ilvl="0" w:tplc="D01AF9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864D6"/>
    <w:multiLevelType w:val="hybridMultilevel"/>
    <w:tmpl w:val="F76E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067B"/>
    <w:multiLevelType w:val="hybridMultilevel"/>
    <w:tmpl w:val="076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936C3"/>
    <w:multiLevelType w:val="hybridMultilevel"/>
    <w:tmpl w:val="3734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22B4"/>
    <w:multiLevelType w:val="hybridMultilevel"/>
    <w:tmpl w:val="17BC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A60B5"/>
    <w:multiLevelType w:val="hybridMultilevel"/>
    <w:tmpl w:val="6F48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53185"/>
    <w:multiLevelType w:val="hybridMultilevel"/>
    <w:tmpl w:val="9FEC9994"/>
    <w:lvl w:ilvl="0" w:tplc="83E2D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545C1"/>
    <w:multiLevelType w:val="hybridMultilevel"/>
    <w:tmpl w:val="BEBCE2EA"/>
    <w:lvl w:ilvl="0" w:tplc="246E1082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14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13"/>
  </w:num>
  <w:num w:numId="17">
    <w:abstractNumId w:val="20"/>
  </w:num>
  <w:num w:numId="18">
    <w:abstractNumId w:val="7"/>
  </w:num>
  <w:num w:numId="19">
    <w:abstractNumId w:val="16"/>
  </w:num>
  <w:num w:numId="20">
    <w:abstractNumId w:val="11"/>
  </w:num>
  <w:num w:numId="21">
    <w:abstractNumId w:val="2"/>
  </w:num>
  <w:num w:numId="22">
    <w:abstractNumId w:val="5"/>
  </w:num>
  <w:num w:numId="23">
    <w:abstractNumId w:val="12"/>
  </w:num>
  <w:num w:numId="24">
    <w:abstractNumId w:val="10"/>
  </w:num>
  <w:num w:numId="25">
    <w:abstractNumId w:val="0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02C"/>
    <w:rsid w:val="0007075A"/>
    <w:rsid w:val="00093BB5"/>
    <w:rsid w:val="000B0016"/>
    <w:rsid w:val="000C37C7"/>
    <w:rsid w:val="000C6271"/>
    <w:rsid w:val="000C7616"/>
    <w:rsid w:val="000D2BE2"/>
    <w:rsid w:val="00111441"/>
    <w:rsid w:val="0011325A"/>
    <w:rsid w:val="00114475"/>
    <w:rsid w:val="00125E76"/>
    <w:rsid w:val="00141B49"/>
    <w:rsid w:val="00142730"/>
    <w:rsid w:val="0014440B"/>
    <w:rsid w:val="00146A8D"/>
    <w:rsid w:val="001761D0"/>
    <w:rsid w:val="001B6DC6"/>
    <w:rsid w:val="0022220F"/>
    <w:rsid w:val="0027517C"/>
    <w:rsid w:val="002D3574"/>
    <w:rsid w:val="002D67B4"/>
    <w:rsid w:val="0030329B"/>
    <w:rsid w:val="00305502"/>
    <w:rsid w:val="00361FAC"/>
    <w:rsid w:val="00394E6E"/>
    <w:rsid w:val="00405D08"/>
    <w:rsid w:val="00407F60"/>
    <w:rsid w:val="00410896"/>
    <w:rsid w:val="00420480"/>
    <w:rsid w:val="00432E5C"/>
    <w:rsid w:val="00435568"/>
    <w:rsid w:val="004E1114"/>
    <w:rsid w:val="004F5983"/>
    <w:rsid w:val="00503255"/>
    <w:rsid w:val="00521478"/>
    <w:rsid w:val="00572787"/>
    <w:rsid w:val="00591C57"/>
    <w:rsid w:val="00597011"/>
    <w:rsid w:val="005C4C7E"/>
    <w:rsid w:val="005E1E9D"/>
    <w:rsid w:val="005E32E6"/>
    <w:rsid w:val="00610D4B"/>
    <w:rsid w:val="0064605A"/>
    <w:rsid w:val="00670E3F"/>
    <w:rsid w:val="00685A75"/>
    <w:rsid w:val="00697103"/>
    <w:rsid w:val="006A7C25"/>
    <w:rsid w:val="006C7DE1"/>
    <w:rsid w:val="006F4751"/>
    <w:rsid w:val="006F6367"/>
    <w:rsid w:val="007037F9"/>
    <w:rsid w:val="00712FBB"/>
    <w:rsid w:val="00723F14"/>
    <w:rsid w:val="00733ACF"/>
    <w:rsid w:val="007758CF"/>
    <w:rsid w:val="007A2FE2"/>
    <w:rsid w:val="007C5E63"/>
    <w:rsid w:val="00867761"/>
    <w:rsid w:val="008807F0"/>
    <w:rsid w:val="008C2C40"/>
    <w:rsid w:val="008C44D5"/>
    <w:rsid w:val="008D6CA1"/>
    <w:rsid w:val="009404A6"/>
    <w:rsid w:val="009462FB"/>
    <w:rsid w:val="00946DBB"/>
    <w:rsid w:val="00947B4A"/>
    <w:rsid w:val="00986E51"/>
    <w:rsid w:val="00990EFF"/>
    <w:rsid w:val="009A0624"/>
    <w:rsid w:val="009A5E31"/>
    <w:rsid w:val="009E53BF"/>
    <w:rsid w:val="009F09AC"/>
    <w:rsid w:val="00A071B9"/>
    <w:rsid w:val="00A85527"/>
    <w:rsid w:val="00A931ED"/>
    <w:rsid w:val="00AB3A1D"/>
    <w:rsid w:val="00AD51C2"/>
    <w:rsid w:val="00B11CC9"/>
    <w:rsid w:val="00B348DF"/>
    <w:rsid w:val="00B349D0"/>
    <w:rsid w:val="00B5013F"/>
    <w:rsid w:val="00B83FDC"/>
    <w:rsid w:val="00B9478F"/>
    <w:rsid w:val="00BA0641"/>
    <w:rsid w:val="00BE23BD"/>
    <w:rsid w:val="00C10429"/>
    <w:rsid w:val="00C21284"/>
    <w:rsid w:val="00C3269F"/>
    <w:rsid w:val="00C32B59"/>
    <w:rsid w:val="00C3482C"/>
    <w:rsid w:val="00CA2FF6"/>
    <w:rsid w:val="00CB777E"/>
    <w:rsid w:val="00CC13F4"/>
    <w:rsid w:val="00CC5C9C"/>
    <w:rsid w:val="00CE1870"/>
    <w:rsid w:val="00CF373E"/>
    <w:rsid w:val="00D04702"/>
    <w:rsid w:val="00D065C2"/>
    <w:rsid w:val="00D37B40"/>
    <w:rsid w:val="00D87F26"/>
    <w:rsid w:val="00DA79F1"/>
    <w:rsid w:val="00DD59B9"/>
    <w:rsid w:val="00DE4453"/>
    <w:rsid w:val="00DF3593"/>
    <w:rsid w:val="00E42158"/>
    <w:rsid w:val="00E61164"/>
    <w:rsid w:val="00E810E3"/>
    <w:rsid w:val="00E8602C"/>
    <w:rsid w:val="00EA0EB2"/>
    <w:rsid w:val="00F37732"/>
    <w:rsid w:val="00F45189"/>
    <w:rsid w:val="00F50035"/>
    <w:rsid w:val="00F5451B"/>
    <w:rsid w:val="00F57EA4"/>
    <w:rsid w:val="00F600B1"/>
    <w:rsid w:val="00F62DCA"/>
    <w:rsid w:val="00F70D15"/>
    <w:rsid w:val="00F719F9"/>
    <w:rsid w:val="00FB0EE2"/>
    <w:rsid w:val="00FC2699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5DA15"/>
  <w15:docId w15:val="{C106454D-525C-4A43-AC32-7B97A640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2C"/>
    <w:pPr>
      <w:ind w:left="720"/>
      <w:contextualSpacing/>
    </w:pPr>
  </w:style>
  <w:style w:type="table" w:styleId="a4">
    <w:name w:val="Table Grid"/>
    <w:basedOn w:val="a1"/>
    <w:uiPriority w:val="59"/>
    <w:rsid w:val="00E8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F35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35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F35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F35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F359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9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2220F"/>
    <w:rPr>
      <w:color w:val="CCCC00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78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478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478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9478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9478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94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F238-BAC5-4C49-8642-71B80CC1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EDmitrieva</dc:creator>
  <cp:lastModifiedBy>Ирина Пустовит</cp:lastModifiedBy>
  <cp:revision>7</cp:revision>
  <cp:lastPrinted>2013-11-08T08:12:00Z</cp:lastPrinted>
  <dcterms:created xsi:type="dcterms:W3CDTF">2014-01-30T09:20:00Z</dcterms:created>
  <dcterms:modified xsi:type="dcterms:W3CDTF">2020-11-30T12:55:00Z</dcterms:modified>
</cp:coreProperties>
</file>